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bookmarkStart w:id="0" w:name="_GoBack"/>
      <w:bookmarkEnd w:id="0"/>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428" w:firstLineChars="200"/>
        <w:jc w:val="left"/>
        <w:rPr>
          <w:rFonts w:hint="default"/>
          <w:sz w:val="21"/>
        </w:rPr>
      </w:pPr>
      <w:r>
        <w:rPr>
          <w:rFonts w:hint="eastAsia"/>
          <w:sz w:val="21"/>
        </w:rPr>
        <w:t>秩父市長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r>
              <w:rPr>
                <w:rFonts w:hint="eastAsia"/>
                <w:w w:val="81"/>
                <w:sz w:val="16"/>
                <w:eastAsianLayout w:id="2" w:vert="1" w:vertCompress="1"/>
              </w:rPr>
              <w:t>※</w:t>
            </w:r>
            <w:r>
              <w:rPr>
                <w:rFonts w:hint="eastAsia"/>
                <w:w w:val="81"/>
                <w:sz w:val="16"/>
                <w:eastAsianLayout w:id="2" w:vert="1" w:vertCompress="1"/>
              </w:rPr>
              <w:t>6</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1245</Characters>
  <Application>JUST Note</Application>
  <Lines>441</Lines>
  <Paragraphs>85</Paragraphs>
  <CharactersWithSpaces>1410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2026-03-19T02:43:04Z</dcterms:modified>
  <cp:revision>2</cp:revision>
</cp:coreProperties>
</file>