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9796" w:type="dxa"/>
        <w:tblInd w:w="0" w:type="dxa"/>
        <w:tblLayout w:type="fixed"/>
        <w:tblCellMar>
          <w:top w:w="28" w:type="dxa"/>
          <w:left w:w="113" w:type="dxa"/>
          <w:bottom w:w="28" w:type="dxa"/>
          <w:right w:w="113" w:type="dxa"/>
        </w:tblCellMar>
        <w:tblLook w:firstRow="1" w:lastRow="0" w:firstColumn="1" w:lastColumn="0" w:noHBand="0" w:noVBand="1" w:val="04A0"/>
      </w:tblPr>
      <w:tblGrid>
        <w:gridCol w:w="1134"/>
        <w:gridCol w:w="2925"/>
        <w:gridCol w:w="3171"/>
        <w:gridCol w:w="2566"/>
      </w:tblGrid>
      <w:tr>
        <w:trPr>
          <w:trHeight w:val="28" w:hRule="atLeast"/>
        </w:trPr>
        <w:tc>
          <w:tcPr>
            <w:tcW w:w="9796"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400" w:lineRule="exact"/>
              <w:jc w:val="center"/>
              <w:rPr>
                <w:rFonts w:hint="default" w:ascii="ＭＳ ゴシック" w:hAnsi="ＭＳ ゴシック" w:eastAsia="ＭＳ ゴシック"/>
                <w:b w:val="1"/>
                <w:kern w:val="0"/>
                <w:sz w:val="26"/>
              </w:rPr>
            </w:pPr>
            <w:bookmarkStart w:id="1" w:name="RANGE!A1:D39"/>
            <w:r>
              <w:rPr>
                <w:rFonts w:hint="eastAsia" w:ascii="ＭＳ ゴシック" w:hAnsi="ＭＳ ゴシック" w:eastAsia="ＭＳ ゴシック"/>
                <w:b w:val="1"/>
                <w:kern w:val="0"/>
                <w:sz w:val="26"/>
              </w:rPr>
              <w:t>農林水産業・食品産業の作業安全のための規範（個別規範：林業）　</w:t>
            </w:r>
          </w:p>
          <w:p>
            <w:pPr>
              <w:pStyle w:val="0"/>
              <w:widowControl w:val="1"/>
              <w:spacing w:line="400" w:lineRule="exact"/>
              <w:jc w:val="center"/>
              <w:rPr>
                <w:rFonts w:hint="default" w:ascii="ＭＳ ゴシック" w:hAnsi="ＭＳ ゴシック" w:eastAsia="ＭＳ ゴシック"/>
                <w:b w:val="1"/>
                <w:kern w:val="0"/>
                <w:sz w:val="26"/>
              </w:rPr>
            </w:pPr>
            <w:r>
              <w:rPr>
                <w:rFonts w:hint="eastAsia" w:ascii="ＭＳ ゴシック" w:hAnsi="ＭＳ ゴシック" w:eastAsia="ＭＳ ゴシック"/>
                <w:b w:val="1"/>
                <w:kern w:val="0"/>
                <w:sz w:val="26"/>
              </w:rPr>
              <w:t>事業者向け　チェックシート</w:t>
            </w:r>
            <w:bookmarkEnd w:id="1"/>
          </w:p>
          <w:p>
            <w:pPr>
              <w:pStyle w:val="0"/>
              <w:spacing w:line="400" w:lineRule="exact"/>
              <w:jc w:val="right"/>
              <w:rPr>
                <w:rFonts w:hint="default" w:ascii="ＭＳ ゴシック" w:hAnsi="ＭＳ ゴシック" w:eastAsia="ＭＳ ゴシック"/>
                <w:b w:val="1"/>
                <w:sz w:val="26"/>
              </w:rPr>
            </w:pPr>
            <w:r>
              <w:rPr>
                <w:rFonts w:hint="eastAsia" w:ascii="ＭＳ ゴシック" w:hAnsi="ＭＳ ゴシック" w:eastAsia="ＭＳ ゴシック"/>
                <w:b w:val="1"/>
                <w:sz w:val="26"/>
              </w:rPr>
              <w:t>令和３年２月</w:t>
            </w:r>
            <w:r>
              <w:rPr>
                <w:rFonts w:hint="eastAsia" w:ascii="ＭＳ ゴシック" w:hAnsi="ＭＳ ゴシック" w:eastAsia="ＭＳ ゴシック"/>
                <w:b w:val="1"/>
                <w:sz w:val="26"/>
              </w:rPr>
              <w:t>26</w:t>
            </w:r>
            <w:r>
              <w:rPr>
                <w:rFonts w:hint="eastAsia" w:ascii="ＭＳ ゴシック" w:hAnsi="ＭＳ ゴシック" w:eastAsia="ＭＳ ゴシック"/>
                <w:b w:val="1"/>
                <w:sz w:val="26"/>
              </w:rPr>
              <w:t>日</w:t>
            </w:r>
          </w:p>
          <w:p>
            <w:pPr>
              <w:pStyle w:val="0"/>
              <w:widowControl w:val="1"/>
              <w:spacing w:line="400" w:lineRule="exact"/>
              <w:jc w:val="right"/>
              <w:rPr>
                <w:rFonts w:hint="eastAsia" w:ascii="ＭＳ ゴシック" w:hAnsi="ＭＳ ゴシック" w:eastAsia="ＭＳ ゴシック"/>
                <w:b w:val="1"/>
                <w:kern w:val="0"/>
                <w:sz w:val="26"/>
              </w:rPr>
            </w:pPr>
            <w:r>
              <w:rPr>
                <w:rFonts w:hint="eastAsia" w:ascii="ＭＳ ゴシック" w:hAnsi="ＭＳ ゴシック" w:eastAsia="ＭＳ ゴシック"/>
                <w:b w:val="1"/>
                <w:sz w:val="26"/>
              </w:rPr>
              <w:t>林野庁</w:t>
            </w:r>
          </w:p>
        </w:tc>
      </w:tr>
      <w:tr>
        <w:trPr>
          <w:trHeight w:val="51" w:hRule="atLeast"/>
        </w:trPr>
        <w:tc>
          <w:tcPr>
            <w:tcW w:w="40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tcMar>
              <w:top w:w="57" w:type="dxa"/>
              <w:bottom w:w="57" w:type="dxa"/>
            </w:tcMar>
            <w:vAlign w:val="center"/>
          </w:tcPr>
          <w:p>
            <w:pPr>
              <w:pStyle w:val="0"/>
              <w:widowControl w:val="1"/>
              <w:jc w:val="center"/>
              <w:rPr>
                <w:rFonts w:hint="default" w:ascii="HGP教科書体" w:hAnsi="HGP教科書体" w:eastAsia="HGP教科書体"/>
                <w:kern w:val="0"/>
                <w:sz w:val="24"/>
              </w:rPr>
            </w:pPr>
            <w:r>
              <w:rPr>
                <w:rFonts w:hint="eastAsia" w:ascii="HGP教科書体" w:hAnsi="HGP教科書体" w:eastAsia="HGP教科書体"/>
                <w:kern w:val="0"/>
                <w:sz w:val="24"/>
              </w:rPr>
              <w:t>事業者名</w:t>
            </w:r>
          </w:p>
        </w:tc>
        <w:tc>
          <w:tcPr>
            <w:tcW w:w="5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57" w:type="dxa"/>
              <w:bottom w:w="57" w:type="dxa"/>
            </w:tcMar>
            <w:vAlign w:val="center"/>
          </w:tcPr>
          <w:p>
            <w:pPr>
              <w:pStyle w:val="0"/>
              <w:widowControl w:val="1"/>
              <w:jc w:val="left"/>
              <w:rPr>
                <w:rFonts w:hint="default" w:ascii="HGP教科書体" w:hAnsi="HGP教科書体" w:eastAsia="HGP教科書体"/>
                <w:kern w:val="0"/>
                <w:sz w:val="24"/>
              </w:rPr>
            </w:pPr>
          </w:p>
        </w:tc>
      </w:tr>
      <w:tr>
        <w:trPr>
          <w:trHeight w:val="51" w:hRule="atLeast"/>
        </w:trPr>
        <w:tc>
          <w:tcPr>
            <w:tcW w:w="40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tcMar>
              <w:top w:w="57" w:type="dxa"/>
              <w:bottom w:w="57" w:type="dxa"/>
            </w:tcMar>
            <w:vAlign w:val="center"/>
          </w:tcPr>
          <w:p>
            <w:pPr>
              <w:pStyle w:val="0"/>
              <w:widowControl w:val="1"/>
              <w:jc w:val="center"/>
              <w:rPr>
                <w:rFonts w:hint="default" w:ascii="HGP教科書体" w:hAnsi="HGP教科書体" w:eastAsia="HGP教科書体"/>
                <w:kern w:val="0"/>
                <w:sz w:val="24"/>
              </w:rPr>
            </w:pPr>
            <w:r>
              <w:rPr>
                <w:rFonts w:hint="eastAsia" w:ascii="HGP教科書体" w:hAnsi="HGP教科書体" w:eastAsia="HGP教科書体"/>
                <w:kern w:val="0"/>
                <w:sz w:val="24"/>
              </w:rPr>
              <w:t>記入者　役職・氏名</w:t>
            </w:r>
          </w:p>
        </w:tc>
        <w:tc>
          <w:tcPr>
            <w:tcW w:w="5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57" w:type="dxa"/>
              <w:bottom w:w="57" w:type="dxa"/>
            </w:tcMar>
            <w:vAlign w:val="center"/>
          </w:tcPr>
          <w:p>
            <w:pPr>
              <w:pStyle w:val="0"/>
              <w:widowControl w:val="1"/>
              <w:jc w:val="center"/>
              <w:rPr>
                <w:rFonts w:hint="default" w:ascii="HGP教科書体" w:hAnsi="HGP教科書体" w:eastAsia="HGP教科書体"/>
                <w:kern w:val="0"/>
                <w:sz w:val="24"/>
              </w:rPr>
            </w:pPr>
          </w:p>
        </w:tc>
      </w:tr>
      <w:tr>
        <w:trPr>
          <w:trHeight w:val="51" w:hRule="atLeast"/>
        </w:trPr>
        <w:tc>
          <w:tcPr>
            <w:tcW w:w="40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tcMar>
              <w:top w:w="57" w:type="dxa"/>
              <w:bottom w:w="57" w:type="dxa"/>
            </w:tcMar>
            <w:vAlign w:val="center"/>
          </w:tcPr>
          <w:p>
            <w:pPr>
              <w:pStyle w:val="0"/>
              <w:widowControl w:val="1"/>
              <w:jc w:val="center"/>
              <w:rPr>
                <w:rFonts w:hint="default" w:ascii="HGP教科書体" w:hAnsi="HGP教科書体" w:eastAsia="HGP教科書体"/>
                <w:kern w:val="0"/>
                <w:sz w:val="24"/>
              </w:rPr>
            </w:pPr>
            <w:r>
              <w:rPr>
                <w:rFonts w:hint="eastAsia" w:ascii="HGP教科書体" w:hAnsi="HGP教科書体" w:eastAsia="HGP教科書体"/>
                <w:kern w:val="0"/>
                <w:sz w:val="24"/>
              </w:rPr>
              <w:t>業種</w:t>
            </w:r>
          </w:p>
          <w:p>
            <w:pPr>
              <w:pStyle w:val="0"/>
              <w:widowControl w:val="1"/>
              <w:jc w:val="center"/>
              <w:rPr>
                <w:rFonts w:hint="default" w:ascii="HGP教科書体" w:hAnsi="HGP教科書体" w:eastAsia="HGP教科書体"/>
                <w:kern w:val="0"/>
                <w:sz w:val="24"/>
              </w:rPr>
            </w:pPr>
            <w:r>
              <w:rPr>
                <w:rFonts w:hint="eastAsia" w:ascii="HGP教科書体" w:hAnsi="HGP教科書体" w:eastAsia="HGP教科書体"/>
                <w:kern w:val="0"/>
                <w:sz w:val="20"/>
              </w:rPr>
              <w:t>（○を付ける。複数選択可）</w:t>
            </w:r>
          </w:p>
        </w:tc>
        <w:tc>
          <w:tcPr>
            <w:tcW w:w="5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57" w:type="dxa"/>
              <w:bottom w:w="57" w:type="dxa"/>
            </w:tcMar>
            <w:vAlign w:val="center"/>
          </w:tcPr>
          <w:p>
            <w:pPr>
              <w:pStyle w:val="0"/>
              <w:widowControl w:val="1"/>
              <w:jc w:val="center"/>
              <w:rPr>
                <w:rFonts w:hint="default" w:ascii="HGP教科書体" w:hAnsi="HGP教科書体" w:eastAsia="HGP教科書体"/>
                <w:kern w:val="0"/>
                <w:sz w:val="24"/>
              </w:rPr>
            </w:pPr>
            <w:r>
              <w:rPr>
                <w:rFonts w:hint="eastAsia" w:ascii="HGP教科書体" w:hAnsi="HGP教科書体" w:eastAsia="HGP教科書体"/>
                <w:kern w:val="0"/>
                <w:sz w:val="24"/>
              </w:rPr>
              <w:t>素材生産／造林・保育／その他（　　　　　　）</w:t>
            </w:r>
          </w:p>
        </w:tc>
      </w:tr>
      <w:tr>
        <w:trPr>
          <w:trHeight w:val="45" w:hRule="atLeast"/>
        </w:trPr>
        <w:tc>
          <w:tcPr>
            <w:tcW w:w="40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tcMar>
              <w:top w:w="57" w:type="dxa"/>
              <w:bottom w:w="57" w:type="dxa"/>
            </w:tcMar>
            <w:vAlign w:val="center"/>
          </w:tcPr>
          <w:p>
            <w:pPr>
              <w:pStyle w:val="0"/>
              <w:widowControl w:val="1"/>
              <w:jc w:val="center"/>
              <w:rPr>
                <w:rFonts w:hint="default" w:ascii="HGP教科書体" w:hAnsi="HGP教科書体" w:eastAsia="HGP教科書体"/>
                <w:kern w:val="0"/>
                <w:sz w:val="24"/>
              </w:rPr>
            </w:pPr>
            <w:r>
              <w:rPr>
                <w:rFonts w:hint="eastAsia" w:ascii="HGP教科書体" w:hAnsi="HGP教科書体" w:eastAsia="HGP教科書体"/>
                <w:kern w:val="0"/>
                <w:sz w:val="24"/>
              </w:rPr>
              <w:t>雇用労働者の有無</w:t>
            </w:r>
          </w:p>
        </w:tc>
        <w:tc>
          <w:tcPr>
            <w:tcW w:w="5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57" w:type="dxa"/>
              <w:bottom w:w="57" w:type="dxa"/>
            </w:tcMar>
            <w:vAlign w:val="center"/>
          </w:tcPr>
          <w:p>
            <w:pPr>
              <w:pStyle w:val="0"/>
              <w:widowControl w:val="1"/>
              <w:jc w:val="center"/>
              <w:rPr>
                <w:rFonts w:hint="default" w:ascii="HGP教科書体" w:hAnsi="HGP教科書体" w:eastAsia="HGP教科書体"/>
                <w:kern w:val="0"/>
                <w:sz w:val="24"/>
              </w:rPr>
            </w:pPr>
            <w:r>
              <w:rPr>
                <w:rFonts w:hint="eastAsia" w:ascii="HGP教科書体" w:hAnsi="HGP教科書体" w:eastAsia="HGP教科書体"/>
                <w:kern w:val="0"/>
                <w:sz w:val="24"/>
              </w:rPr>
              <w:t>有　／　無</w:t>
            </w:r>
          </w:p>
        </w:tc>
      </w:tr>
      <w:tr>
        <w:trPr>
          <w:trHeight w:val="47" w:hRule="atLeast"/>
        </w:trPr>
        <w:tc>
          <w:tcPr>
            <w:tcW w:w="40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tcMar>
              <w:top w:w="57" w:type="dxa"/>
              <w:bottom w:w="57" w:type="dxa"/>
            </w:tcMar>
            <w:vAlign w:val="center"/>
          </w:tcPr>
          <w:p>
            <w:pPr>
              <w:pStyle w:val="0"/>
              <w:widowControl w:val="1"/>
              <w:jc w:val="center"/>
              <w:rPr>
                <w:rFonts w:hint="default" w:ascii="HGP教科書体" w:hAnsi="HGP教科書体" w:eastAsia="HGP教科書体"/>
                <w:kern w:val="0"/>
                <w:sz w:val="24"/>
              </w:rPr>
            </w:pPr>
            <w:r>
              <w:rPr>
                <w:rFonts w:hint="eastAsia" w:ascii="HGP教科書体" w:hAnsi="HGP教科書体" w:eastAsia="HGP教科書体"/>
                <w:kern w:val="0"/>
                <w:sz w:val="24"/>
              </w:rPr>
              <w:t>記入日</w:t>
            </w:r>
          </w:p>
        </w:tc>
        <w:tc>
          <w:tcPr>
            <w:tcW w:w="5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57" w:type="dxa"/>
              <w:bottom w:w="57" w:type="dxa"/>
            </w:tcMar>
            <w:vAlign w:val="center"/>
          </w:tcPr>
          <w:p>
            <w:pPr>
              <w:pStyle w:val="0"/>
              <w:widowControl w:val="1"/>
              <w:jc w:val="center"/>
              <w:rPr>
                <w:rFonts w:hint="default" w:ascii="HGP教科書体" w:hAnsi="HGP教科書体" w:eastAsia="HGP教科書体"/>
                <w:kern w:val="0"/>
                <w:sz w:val="24"/>
              </w:rPr>
            </w:pPr>
            <w:r>
              <w:rPr>
                <w:rFonts w:hint="eastAsia" w:ascii="HGP教科書体" w:hAnsi="HGP教科書体" w:eastAsia="HGP教科書体"/>
                <w:kern w:val="0"/>
                <w:sz w:val="24"/>
              </w:rPr>
              <w:t>令和　　　　年　　　　月　　　　日</w:t>
            </w:r>
          </w:p>
        </w:tc>
      </w:tr>
      <w:tr>
        <w:trPr>
          <w:trHeight w:val="28" w:hRule="atLeast"/>
        </w:trPr>
        <w:tc>
          <w:tcPr>
            <w:tcW w:w="9796" w:type="dxa"/>
            <w:gridSpan w:val="4"/>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320" w:lineRule="exact"/>
              <w:jc w:val="left"/>
              <w:rPr>
                <w:rFonts w:hint="default" w:ascii="HGP教科書体" w:hAnsi="HGP教科書体" w:eastAsia="HGP教科書体"/>
                <w:kern w:val="0"/>
                <w:sz w:val="24"/>
              </w:rPr>
            </w:pPr>
          </w:p>
          <w:p>
            <w:pPr>
              <w:pStyle w:val="0"/>
              <w:widowControl w:val="1"/>
              <w:spacing w:line="320" w:lineRule="exact"/>
              <w:jc w:val="left"/>
              <w:rPr>
                <w:rFonts w:hint="default" w:ascii="HGP教科書体" w:hAnsi="HGP教科書体" w:eastAsia="HGP教科書体"/>
                <w:kern w:val="0"/>
                <w:sz w:val="24"/>
              </w:rPr>
            </w:pPr>
            <w:r>
              <w:rPr>
                <w:rFonts w:hint="eastAsia" w:ascii="HGP教科書体" w:hAnsi="HGP教科書体" w:eastAsia="HGP教科書体"/>
                <w:kern w:val="0"/>
                <w:sz w:val="24"/>
              </w:rPr>
              <w:t>現在の取組状況をご記入下さい。</w:t>
            </w:r>
          </w:p>
        </w:tc>
      </w:tr>
      <w:tr>
        <w:trPr>
          <w:trHeight w:val="31" w:hRule="atLeast"/>
        </w:trPr>
        <w:tc>
          <w:tcPr>
            <w:tcW w:w="9796" w:type="dxa"/>
            <w:gridSpan w:val="4"/>
            <w:tcBorders>
              <w:top w:val="nil"/>
              <w:left w:val="nil"/>
              <w:bottom w:val="single" w:color="auto" w:sz="4" w:space="0"/>
              <w:right w:val="nil"/>
              <w:tl2br w:val="none" w:color="auto" w:sz="0" w:space="0"/>
              <w:tr2bl w:val="none" w:color="auto" w:sz="0" w:space="0"/>
            </w:tcBorders>
            <w:shd w:val="clear" w:color="auto" w:fill="auto"/>
            <w:vAlign w:val="top"/>
          </w:tcPr>
          <w:p>
            <w:pPr>
              <w:pStyle w:val="0"/>
              <w:widowControl w:val="1"/>
              <w:jc w:val="left"/>
              <w:rPr>
                <w:rFonts w:hint="default" w:ascii="ＤＦ特太ゴシック体" w:hAnsi="ＤＦ特太ゴシック体" w:eastAsia="ＤＦ特太ゴシック体"/>
                <w:color w:val="000000"/>
                <w:kern w:val="0"/>
                <w:sz w:val="28"/>
              </w:rPr>
            </w:pPr>
          </w:p>
        </w:tc>
      </w:tr>
      <w:tr>
        <w:trPr>
          <w:trHeight w:val="42" w:hRule="atLeast"/>
        </w:trPr>
        <w:tc>
          <w:tcPr>
            <w:tcW w:w="72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FF" w:themeFillShade="BF"/>
            <w:vAlign w:val="center"/>
          </w:tcPr>
          <w:p>
            <w:pPr>
              <w:pStyle w:val="0"/>
              <w:widowControl w:val="1"/>
              <w:jc w:val="center"/>
              <w:rPr>
                <w:rFonts w:hint="default" w:ascii="ＭＳ ゴシック" w:hAnsi="ＭＳ ゴシック" w:eastAsia="ＭＳ ゴシック"/>
                <w:color w:val="FFFFFF" w:themeColor="background1"/>
                <w:kern w:val="0"/>
                <w:sz w:val="24"/>
              </w:rPr>
            </w:pPr>
            <w:r>
              <w:rPr>
                <w:rFonts w:hint="eastAsia" w:ascii="ＭＳ ゴシック" w:hAnsi="ＭＳ ゴシック" w:eastAsia="ＭＳ ゴシック"/>
                <w:color w:val="FFFFFF" w:themeColor="background1"/>
                <w:kern w:val="0"/>
                <w:sz w:val="24"/>
              </w:rPr>
              <w:t>具体的な事項</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FF" w:themeFillShade="BF"/>
            <w:vAlign w:val="center"/>
          </w:tcPr>
          <w:p>
            <w:pPr>
              <w:pStyle w:val="0"/>
              <w:widowControl w:val="1"/>
              <w:jc w:val="left"/>
              <w:rPr>
                <w:rFonts w:hint="default" w:ascii="ＭＳ ゴシック" w:hAnsi="ＭＳ ゴシック" w:eastAsia="ＭＳ ゴシック"/>
                <w:color w:val="FFFFFF" w:themeColor="background1"/>
                <w:kern w:val="0"/>
                <w:sz w:val="20"/>
              </w:rPr>
            </w:pP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実施</w:t>
            </w:r>
            <w:r>
              <w:rPr>
                <w:rFonts w:hint="eastAsia" w:ascii="ＭＳ ゴシック" w:hAnsi="ＭＳ ゴシック" w:eastAsia="ＭＳ ゴシック"/>
                <w:color w:val="FFFFFF" w:themeColor="background1"/>
                <w:kern w:val="0"/>
                <w:sz w:val="20"/>
              </w:rPr>
              <w:t xml:space="preserve"> </w:t>
            </w:r>
          </w:p>
          <w:p>
            <w:pPr>
              <w:pStyle w:val="0"/>
              <w:widowControl w:val="1"/>
              <w:jc w:val="left"/>
              <w:rPr>
                <w:rFonts w:hint="default" w:ascii="ＭＳ ゴシック" w:hAnsi="ＭＳ ゴシック" w:eastAsia="ＭＳ ゴシック"/>
                <w:color w:val="FFFFFF" w:themeColor="background1"/>
                <w:kern w:val="0"/>
                <w:sz w:val="20"/>
              </w:rPr>
            </w:pP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実施していない</w:t>
            </w:r>
          </w:p>
          <w:p>
            <w:pPr>
              <w:pStyle w:val="0"/>
              <w:widowControl w:val="1"/>
              <w:jc w:val="left"/>
              <w:rPr>
                <w:rFonts w:hint="default" w:ascii="ＭＳ ゴシック" w:hAnsi="ＭＳ ゴシック" w:eastAsia="ＭＳ ゴシック"/>
                <w:color w:val="FFFFFF" w:themeColor="background1"/>
                <w:kern w:val="0"/>
                <w:sz w:val="20"/>
              </w:rPr>
            </w:pP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今後、実施予定</w:t>
            </w:r>
          </w:p>
          <w:p>
            <w:pPr>
              <w:pStyle w:val="0"/>
              <w:widowControl w:val="1"/>
              <w:jc w:val="left"/>
              <w:rPr>
                <w:rFonts w:hint="default" w:ascii="ＭＳ ゴシック" w:hAnsi="ＭＳ ゴシック" w:eastAsia="ＭＳ ゴシック"/>
                <w:color w:val="FFFFFF" w:themeColor="background1"/>
                <w:kern w:val="0"/>
              </w:rPr>
            </w:pP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該当しない</w:t>
            </w:r>
            <w:r>
              <w:rPr>
                <w:rFonts w:hint="eastAsia" w:ascii="ＭＳ ゴシック" w:hAnsi="ＭＳ ゴシック" w:eastAsia="ＭＳ ゴシック"/>
                <w:color w:val="FFFFFF" w:themeColor="background1"/>
                <w:kern w:val="0"/>
              </w:rPr>
              <w:t>　　　</w:t>
            </w:r>
          </w:p>
        </w:tc>
      </w:tr>
      <w:tr>
        <w:trPr>
          <w:trHeight w:val="447"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9D9A3"/>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9D9A3"/>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作業安全確保のために必要な対策を講じる</w:t>
            </w:r>
          </w:p>
        </w:tc>
        <w:tc>
          <w:tcPr>
            <w:tcW w:w="256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B9D9A3"/>
            <w:vAlign w:val="center"/>
          </w:tcPr>
          <w:p>
            <w:pPr>
              <w:pStyle w:val="0"/>
              <w:widowControl w:val="1"/>
              <w:jc w:val="left"/>
              <w:rPr>
                <w:rFonts w:hint="default" w:ascii="ＭＳ ゴシック" w:hAnsi="ＭＳ ゴシック" w:eastAsia="ＭＳ ゴシック"/>
                <w:color w:val="000000"/>
                <w:kern w:val="0"/>
                <w:sz w:val="24"/>
              </w:rPr>
            </w:pPr>
          </w:p>
        </w:tc>
      </w:tr>
      <w:tr>
        <w:trPr>
          <w:trHeight w:val="497"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1-(1)</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人的対応力の向上</w:t>
            </w:r>
          </w:p>
        </w:tc>
        <w:tc>
          <w:tcPr>
            <w:tcW w:w="256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themeFill="accent6" w:themeFillTint="33" w:themeFillShade="FF"/>
            <w:vAlign w:val="center"/>
          </w:tcPr>
          <w:p>
            <w:pPr>
              <w:pStyle w:val="0"/>
              <w:widowControl w:val="1"/>
              <w:jc w:val="left"/>
              <w:rPr>
                <w:rFonts w:hint="default" w:ascii="ＭＳ ゴシック" w:hAnsi="ＭＳ ゴシック" w:eastAsia="ＭＳ ゴシック"/>
                <w:color w:val="000000"/>
                <w:kern w:val="0"/>
                <w:sz w:val="24"/>
              </w:rPr>
            </w:pPr>
          </w:p>
        </w:tc>
      </w:tr>
      <w:tr>
        <w:trPr>
          <w:trHeight w:val="40"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1-(1)-</w:t>
            </w:r>
            <w:r>
              <w:rPr>
                <w:rFonts w:hint="eastAsia" w:ascii="HGP教科書体" w:hAnsi="HGP教科書体" w:eastAsia="HGP教科書体"/>
                <w:color w:val="000000"/>
                <w:kern w:val="0"/>
                <w:sz w:val="24"/>
              </w:rPr>
              <w:t>①</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作業事故防止に向けた方針を表明し、具体的な目標を設定する。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　</w:t>
            </w: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1-(1)-</w:t>
            </w:r>
            <w:r>
              <w:rPr>
                <w:rFonts w:hint="eastAsia" w:ascii="HGP教科書体" w:hAnsi="HGP教科書体" w:eastAsia="HGP教科書体"/>
                <w:color w:val="000000"/>
                <w:kern w:val="0"/>
                <w:sz w:val="24"/>
              </w:rPr>
              <w:t>②</w:t>
            </w:r>
            <w:r>
              <w:rPr>
                <w:rFonts w:hint="eastAsia" w:ascii="HGP教科書体" w:hAnsi="HGP教科書体" w:eastAsia="HGP教科書体"/>
                <w:color w:val="000000"/>
                <w:kern w:val="0"/>
                <w:sz w:val="24"/>
              </w:rPr>
              <w:t xml:space="preserve"> </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知識、経験等を踏まえて、安全対策の責任者や担当者を選任する。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　</w:t>
            </w:r>
          </w:p>
        </w:tc>
      </w:tr>
      <w:tr>
        <w:trPr>
          <w:trHeight w:val="103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1-(1)-</w:t>
            </w:r>
            <w:r>
              <w:rPr>
                <w:rFonts w:hint="eastAsia" w:ascii="HGP教科書体" w:hAnsi="HGP教科書体" w:eastAsia="HGP教科書体"/>
                <w:color w:val="000000"/>
                <w:kern w:val="0"/>
                <w:sz w:val="24"/>
              </w:rPr>
              <w:t>③</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作業安全に関する研修・教育等を受ける。また、作業安全に関する最新の知見や情報の幅広い収集に努める。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　</w:t>
            </w: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1-(1)-</w:t>
            </w:r>
            <w:r>
              <w:rPr>
                <w:rFonts w:hint="eastAsia" w:ascii="HGP教科書体" w:hAnsi="HGP教科書体" w:eastAsia="HGP教科書体"/>
                <w:color w:val="000000"/>
                <w:kern w:val="0"/>
                <w:sz w:val="24"/>
              </w:rPr>
              <w:t>④</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適切な技能や免許等が必要な業務には、有資格者を就かせる。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　</w:t>
            </w: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1-(1)-</w:t>
            </w:r>
            <w:r>
              <w:rPr>
                <w:rFonts w:hint="eastAsia" w:ascii="HGP教科書体" w:hAnsi="HGP教科書体" w:eastAsia="HGP教科書体"/>
                <w:color w:val="000000"/>
                <w:kern w:val="0"/>
                <w:sz w:val="24"/>
              </w:rPr>
              <w:t>⑤</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職場での朝礼や定期的な集会等により、作業の計画や安全意識を周知・徹底する。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423"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1-(1)-</w:t>
            </w:r>
            <w:r>
              <w:rPr>
                <w:rFonts w:hint="eastAsia" w:ascii="HGP教科書体" w:hAnsi="HGP教科書体" w:eastAsia="HGP教科書体"/>
                <w:color w:val="000000"/>
                <w:kern w:val="0"/>
                <w:sz w:val="24"/>
              </w:rPr>
              <w:t>⑥</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安全対策の推進に向け、従事者の提案を促す。</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501"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1-(2)</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作業安全のためのルールや手順の順守</w:t>
            </w:r>
          </w:p>
        </w:tc>
        <w:tc>
          <w:tcPr>
            <w:tcW w:w="256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themeFill="accent6" w:themeFillTint="33" w:themeFillShade="FF"/>
            <w:vAlign w:val="center"/>
          </w:tcPr>
          <w:p>
            <w:pPr>
              <w:pStyle w:val="0"/>
              <w:widowControl w:val="1"/>
              <w:jc w:val="left"/>
              <w:rPr>
                <w:rFonts w:hint="default" w:ascii="ＭＳ ゴシック" w:hAnsi="ＭＳ ゴシック" w:eastAsia="ＭＳ ゴシック"/>
                <w:color w:val="000000"/>
                <w:kern w:val="0"/>
                <w:sz w:val="24"/>
              </w:rPr>
            </w:pPr>
          </w:p>
        </w:tc>
      </w:tr>
      <w:tr>
        <w:trPr>
          <w:trHeight w:val="603"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1-(2)-</w:t>
            </w:r>
            <w:r>
              <w:rPr>
                <w:rFonts w:hint="eastAsia" w:ascii="HGP教科書体" w:hAnsi="HGP教科書体" w:eastAsia="HGP教科書体"/>
                <w:color w:val="000000"/>
                <w:kern w:val="0"/>
                <w:sz w:val="24"/>
              </w:rPr>
              <w:t>①</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関係法令等を遵守する。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45" w:hRule="atLeast"/>
        </w:trPr>
        <w:tc>
          <w:tcPr>
            <w:tcW w:w="72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FF" w:themeFillShade="BF"/>
            <w:vAlign w:val="center"/>
          </w:tcPr>
          <w:p>
            <w:pPr>
              <w:pStyle w:val="0"/>
              <w:widowControl w:val="1"/>
              <w:jc w:val="center"/>
              <w:rPr>
                <w:rFonts w:hint="default" w:ascii="ＭＳ ゴシック" w:hAnsi="ＭＳ ゴシック" w:eastAsia="ＭＳ ゴシック"/>
                <w:color w:val="FFFFFF" w:themeColor="background1"/>
                <w:kern w:val="0"/>
                <w:sz w:val="24"/>
              </w:rPr>
            </w:pPr>
            <w:r>
              <w:rPr>
                <w:rFonts w:hint="eastAsia" w:ascii="ＭＳ ゴシック" w:hAnsi="ＭＳ ゴシック" w:eastAsia="ＭＳ ゴシック"/>
                <w:color w:val="FFFFFF" w:themeColor="background1"/>
                <w:kern w:val="0"/>
                <w:sz w:val="24"/>
              </w:rPr>
              <w:t>具体的な事項</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FF" w:themeFillShade="BF"/>
            <w:vAlign w:val="center"/>
          </w:tcPr>
          <w:p>
            <w:pPr>
              <w:pStyle w:val="0"/>
              <w:widowControl w:val="1"/>
              <w:jc w:val="left"/>
              <w:rPr>
                <w:rFonts w:hint="default" w:ascii="ＭＳ ゴシック" w:hAnsi="ＭＳ ゴシック" w:eastAsia="ＭＳ ゴシック"/>
                <w:color w:val="FFFFFF" w:themeColor="background1"/>
                <w:kern w:val="0"/>
                <w:sz w:val="20"/>
              </w:rPr>
            </w:pP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実施</w:t>
            </w:r>
            <w:r>
              <w:rPr>
                <w:rFonts w:hint="eastAsia" w:ascii="ＭＳ ゴシック" w:hAnsi="ＭＳ ゴシック" w:eastAsia="ＭＳ ゴシック"/>
                <w:color w:val="FFFFFF" w:themeColor="background1"/>
                <w:kern w:val="0"/>
                <w:sz w:val="20"/>
              </w:rPr>
              <w:t xml:space="preserve"> </w:t>
            </w:r>
          </w:p>
          <w:p>
            <w:pPr>
              <w:pStyle w:val="0"/>
              <w:widowControl w:val="1"/>
              <w:jc w:val="left"/>
              <w:rPr>
                <w:rFonts w:hint="default" w:ascii="ＭＳ ゴシック" w:hAnsi="ＭＳ ゴシック" w:eastAsia="ＭＳ ゴシック"/>
                <w:color w:val="FFFFFF" w:themeColor="background1"/>
                <w:kern w:val="0"/>
                <w:sz w:val="20"/>
              </w:rPr>
            </w:pP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実施していない</w:t>
            </w:r>
          </w:p>
          <w:p>
            <w:pPr>
              <w:pStyle w:val="0"/>
              <w:widowControl w:val="1"/>
              <w:jc w:val="left"/>
              <w:rPr>
                <w:rFonts w:hint="default" w:ascii="ＭＳ ゴシック" w:hAnsi="ＭＳ ゴシック" w:eastAsia="ＭＳ ゴシック"/>
                <w:color w:val="FFFFFF" w:themeColor="background1"/>
                <w:kern w:val="0"/>
                <w:sz w:val="20"/>
              </w:rPr>
            </w:pP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今後、実施予定</w:t>
            </w:r>
          </w:p>
          <w:p>
            <w:pPr>
              <w:pStyle w:val="0"/>
              <w:widowControl w:val="1"/>
              <w:jc w:val="left"/>
              <w:rPr>
                <w:rFonts w:hint="default" w:ascii="ＭＳ ゴシック" w:hAnsi="ＭＳ ゴシック" w:eastAsia="ＭＳ ゴシック"/>
                <w:color w:val="FFFFFF" w:themeColor="background1"/>
                <w:kern w:val="0"/>
              </w:rPr>
            </w:pP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該当しない</w:t>
            </w:r>
            <w:r>
              <w:rPr>
                <w:rFonts w:hint="eastAsia" w:ascii="ＭＳ ゴシック" w:hAnsi="ＭＳ ゴシック" w:eastAsia="ＭＳ ゴシック"/>
                <w:color w:val="FFFFFF" w:themeColor="background1"/>
                <w:kern w:val="0"/>
              </w:rPr>
              <w:t>　　　</w:t>
            </w:r>
          </w:p>
        </w:tc>
      </w:tr>
      <w:tr>
        <w:trPr>
          <w:trHeight w:val="621"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1-(2)-</w:t>
            </w:r>
            <w:r>
              <w:rPr>
                <w:rFonts w:hint="eastAsia" w:ascii="HGP教科書体" w:hAnsi="HGP教科書体" w:eastAsia="HGP教科書体"/>
                <w:color w:val="000000"/>
                <w:kern w:val="0"/>
                <w:sz w:val="24"/>
              </w:rPr>
              <w:t>②</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高性能林業機械やチェーンソー等、資機材等の使用に当たっては、取扱説明書の確認等を通じて適切な使用方法を理解する。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621"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HGP教科書体" w:hAnsi="HGP教科書体" w:eastAsia="HGP教科書体"/>
                <w:color w:val="000000"/>
                <w:kern w:val="0"/>
                <w:sz w:val="24"/>
              </w:rPr>
            </w:pPr>
            <w:r>
              <w:rPr>
                <w:rFonts w:hint="eastAsia" w:ascii="HGP教科書体" w:hAnsi="HGP教科書体" w:eastAsia="HGP教科書体"/>
                <w:color w:val="000000"/>
                <w:kern w:val="0"/>
                <w:sz w:val="24"/>
              </w:rPr>
              <w:t>1-(2)-</w:t>
            </w:r>
            <w:r>
              <w:rPr>
                <w:rFonts w:hint="eastAsia" w:ascii="HGP教科書体" w:hAnsi="HGP教科書体" w:eastAsia="HGP教科書体"/>
                <w:color w:val="000000"/>
                <w:kern w:val="0"/>
                <w:sz w:val="24"/>
              </w:rPr>
              <w:t>③</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HGP教科書体" w:hAnsi="HGP教科書体" w:eastAsia="HGP教科書体"/>
                <w:color w:val="000000"/>
                <w:kern w:val="0"/>
                <w:sz w:val="24"/>
              </w:rPr>
            </w:pPr>
            <w:r>
              <w:rPr>
                <w:rFonts w:hint="eastAsia" w:ascii="HGP教科書体" w:hAnsi="HGP教科書体" w:eastAsia="HGP教科書体"/>
                <w:color w:val="000000"/>
                <w:kern w:val="0"/>
                <w:sz w:val="24"/>
              </w:rPr>
              <w:t>作業に応じ、安全に配慮した服装や保護具等を着用する。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1-(2)-</w:t>
            </w:r>
            <w:r>
              <w:rPr>
                <w:rFonts w:hint="eastAsia" w:ascii="HGP教科書体" w:hAnsi="HGP教科書体" w:eastAsia="HGP教科書体"/>
                <w:color w:val="000000"/>
                <w:kern w:val="0"/>
                <w:sz w:val="24"/>
              </w:rPr>
              <w:t>④</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日常的な確認や健康診断、ストレスチェック等により、健康状態の管理を行う。</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1-(2)-</w:t>
            </w:r>
            <w:r>
              <w:rPr>
                <w:rFonts w:hint="eastAsia" w:ascii="HGP教科書体" w:hAnsi="HGP教科書体" w:eastAsia="HGP教科書体"/>
                <w:color w:val="000000"/>
                <w:kern w:val="0"/>
                <w:sz w:val="24"/>
              </w:rPr>
              <w:t>⑤</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作業中に必要な休憩をとる。また、暑熱環境下では水分や塩分を摂取する。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1-(2)-</w:t>
            </w:r>
            <w:r>
              <w:rPr>
                <w:rFonts w:hint="eastAsia" w:ascii="HGP教科書体" w:hAnsi="HGP教科書体" w:eastAsia="HGP教科書体"/>
                <w:color w:val="000000"/>
                <w:kern w:val="0"/>
                <w:sz w:val="24"/>
              </w:rPr>
              <w:t>⑥</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作業安全対策に知見のある第三者等によるチェック及び指導を受ける。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1-(3)</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資機材、設備等の安全性の確保</w:t>
            </w:r>
          </w:p>
        </w:tc>
        <w:tc>
          <w:tcPr>
            <w:tcW w:w="256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themeFill="accent6" w:themeFillTint="33" w:themeFillShade="FF"/>
            <w:vAlign w:val="center"/>
          </w:tcPr>
          <w:p>
            <w:pPr>
              <w:pStyle w:val="0"/>
              <w:widowControl w:val="1"/>
              <w:jc w:val="left"/>
              <w:rPr>
                <w:rFonts w:hint="default" w:ascii="ＭＳ ゴシック" w:hAnsi="ＭＳ ゴシック" w:eastAsia="ＭＳ ゴシック"/>
                <w:color w:val="000000"/>
                <w:kern w:val="0"/>
                <w:sz w:val="24"/>
              </w:rPr>
            </w:pP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1-(3)-</w:t>
            </w:r>
            <w:r>
              <w:rPr>
                <w:rFonts w:hint="eastAsia" w:ascii="HGP教科書体" w:hAnsi="HGP教科書体" w:eastAsia="HGP教科書体"/>
                <w:color w:val="000000"/>
                <w:kern w:val="0"/>
                <w:sz w:val="24"/>
              </w:rPr>
              <w:t>①</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燃料や薬剤など危険性・有害性のある資材は、適切に保管し、安全に取り扱う。</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557"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1-(3)-</w:t>
            </w:r>
            <w:r>
              <w:rPr>
                <w:rFonts w:hint="eastAsia" w:ascii="HGP教科書体" w:hAnsi="HGP教科書体" w:eastAsia="HGP教科書体"/>
                <w:color w:val="000000"/>
                <w:kern w:val="0"/>
                <w:sz w:val="24"/>
              </w:rPr>
              <w:t>②</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機械や刃物等の日常点検・整備・保管を適切に行う。</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1-(3)-</w:t>
            </w:r>
            <w:r>
              <w:rPr>
                <w:rFonts w:hint="eastAsia" w:ascii="HGP教科書体" w:hAnsi="HGP教科書体" w:eastAsia="HGP教科書体"/>
                <w:color w:val="000000"/>
                <w:kern w:val="0"/>
                <w:sz w:val="24"/>
              </w:rPr>
              <w:t>③</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資機材、設備等を導入・更新する際には、可能な限り安全に配慮したものを選択する。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439"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1-(4)</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作業環境の改善</w:t>
            </w:r>
          </w:p>
        </w:tc>
        <w:tc>
          <w:tcPr>
            <w:tcW w:w="256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themeFill="accent6" w:themeFillTint="33" w:themeFillShade="FF"/>
            <w:vAlign w:val="center"/>
          </w:tcPr>
          <w:p>
            <w:pPr>
              <w:pStyle w:val="0"/>
              <w:widowControl w:val="1"/>
              <w:jc w:val="left"/>
              <w:rPr>
                <w:rFonts w:hint="default" w:ascii="ＭＳ ゴシック" w:hAnsi="ＭＳ ゴシック" w:eastAsia="ＭＳ ゴシック"/>
                <w:color w:val="000000"/>
                <w:kern w:val="0"/>
                <w:sz w:val="24"/>
              </w:rPr>
            </w:pP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1-(4)-</w:t>
            </w:r>
            <w:r>
              <w:rPr>
                <w:rFonts w:hint="eastAsia" w:ascii="HGP教科書体" w:hAnsi="HGP教科書体" w:eastAsia="HGP教科書体"/>
                <w:color w:val="000000"/>
                <w:kern w:val="0"/>
                <w:sz w:val="24"/>
              </w:rPr>
              <w:t>①</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職場や個人の状況に応じ、適切な作業分担を行う。また、日々の健康状態に応じて適切に分担を変更する。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1-(4)-</w:t>
            </w:r>
            <w:r>
              <w:rPr>
                <w:rFonts w:hint="eastAsia" w:ascii="HGP教科書体" w:hAnsi="HGP教科書体" w:eastAsia="HGP教科書体"/>
                <w:color w:val="000000"/>
                <w:kern w:val="0"/>
                <w:sz w:val="24"/>
              </w:rPr>
              <w:t>②</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高齢者を雇用する場合は、高齢者に配慮した作業環境の整備、作業管理を行う。</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1-(4)-</w:t>
            </w:r>
            <w:r>
              <w:rPr>
                <w:rFonts w:hint="eastAsia" w:ascii="HGP教科書体" w:hAnsi="HGP教科書体" w:eastAsia="HGP教科書体"/>
                <w:color w:val="000000"/>
                <w:kern w:val="0"/>
                <w:sz w:val="24"/>
              </w:rPr>
              <w:t>③</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安全な作業手順、作業動作、機械・器具の使用方法等を明文化又は可視化し、全ての従事者が見ることができるようにする。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1-(4)-</w:t>
            </w:r>
            <w:r>
              <w:rPr>
                <w:rFonts w:hint="eastAsia" w:ascii="HGP教科書体" w:hAnsi="HGP教科書体" w:eastAsia="HGP教科書体"/>
                <w:color w:val="000000"/>
                <w:kern w:val="0"/>
                <w:sz w:val="24"/>
              </w:rPr>
              <w:t>④</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themeColor="text1"/>
                <w:sz w:val="24"/>
              </w:rPr>
              <w:t>現場の危険箇所を予め特定し、改善・整備や注意喚起を行う。</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481"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1-(4)-</w:t>
            </w:r>
            <w:r>
              <w:rPr>
                <w:rFonts w:hint="eastAsia" w:ascii="HGP教科書体" w:hAnsi="HGP教科書体" w:eastAsia="HGP教科書体"/>
                <w:color w:val="000000"/>
                <w:kern w:val="0"/>
                <w:sz w:val="24"/>
              </w:rPr>
              <w:t>⑤</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themeColor="text1"/>
                <w:sz w:val="24"/>
              </w:rPr>
              <w:t>４Ｓ（整理・整頓・清潔・清掃）活動を行う。</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563"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1-(5)</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themeColor="text1"/>
                <w:sz w:val="24"/>
              </w:rPr>
              <w:t>事故事例やヒヤリ・ハット事例などの情報の分析と活用</w:t>
            </w:r>
          </w:p>
        </w:tc>
        <w:tc>
          <w:tcPr>
            <w:tcW w:w="256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themeFill="accent6" w:themeFillTint="33" w:themeFillShade="FF"/>
            <w:vAlign w:val="center"/>
          </w:tcPr>
          <w:p>
            <w:pPr>
              <w:pStyle w:val="0"/>
              <w:widowControl w:val="1"/>
              <w:jc w:val="left"/>
              <w:rPr>
                <w:rFonts w:hint="default" w:ascii="ＭＳ ゴシック" w:hAnsi="ＭＳ ゴシック" w:eastAsia="ＭＳ ゴシック"/>
                <w:color w:val="000000"/>
                <w:kern w:val="0"/>
                <w:sz w:val="24"/>
              </w:rPr>
            </w:pPr>
          </w:p>
        </w:tc>
      </w:tr>
      <w:tr>
        <w:trPr>
          <w:trHeight w:val="45" w:hRule="atLeast"/>
        </w:trPr>
        <w:tc>
          <w:tcPr>
            <w:tcW w:w="72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FF" w:themeFillShade="BF"/>
            <w:vAlign w:val="center"/>
          </w:tcPr>
          <w:p>
            <w:pPr>
              <w:pStyle w:val="0"/>
              <w:widowControl w:val="1"/>
              <w:jc w:val="center"/>
              <w:rPr>
                <w:rFonts w:hint="default" w:ascii="ＭＳ ゴシック" w:hAnsi="ＭＳ ゴシック" w:eastAsia="ＭＳ ゴシック"/>
                <w:color w:val="FFFFFF" w:themeColor="background1"/>
                <w:kern w:val="0"/>
                <w:sz w:val="24"/>
              </w:rPr>
            </w:pPr>
            <w:r>
              <w:rPr>
                <w:rFonts w:hint="eastAsia" w:ascii="ＭＳ ゴシック" w:hAnsi="ＭＳ ゴシック" w:eastAsia="ＭＳ ゴシック"/>
                <w:color w:val="FFFFFF" w:themeColor="background1"/>
                <w:kern w:val="0"/>
                <w:sz w:val="24"/>
              </w:rPr>
              <w:t>具体的な事項</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FF" w:themeFillShade="BF"/>
            <w:vAlign w:val="center"/>
          </w:tcPr>
          <w:p>
            <w:pPr>
              <w:pStyle w:val="0"/>
              <w:widowControl w:val="1"/>
              <w:jc w:val="left"/>
              <w:rPr>
                <w:rFonts w:hint="default" w:ascii="ＭＳ ゴシック" w:hAnsi="ＭＳ ゴシック" w:eastAsia="ＭＳ ゴシック"/>
                <w:color w:val="FFFFFF" w:themeColor="background1"/>
                <w:kern w:val="0"/>
                <w:sz w:val="20"/>
              </w:rPr>
            </w:pP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実施</w:t>
            </w:r>
            <w:r>
              <w:rPr>
                <w:rFonts w:hint="eastAsia" w:ascii="ＭＳ ゴシック" w:hAnsi="ＭＳ ゴシック" w:eastAsia="ＭＳ ゴシック"/>
                <w:color w:val="FFFFFF" w:themeColor="background1"/>
                <w:kern w:val="0"/>
                <w:sz w:val="20"/>
              </w:rPr>
              <w:t xml:space="preserve"> </w:t>
            </w:r>
          </w:p>
          <w:p>
            <w:pPr>
              <w:pStyle w:val="0"/>
              <w:widowControl w:val="1"/>
              <w:jc w:val="left"/>
              <w:rPr>
                <w:rFonts w:hint="default" w:ascii="ＭＳ ゴシック" w:hAnsi="ＭＳ ゴシック" w:eastAsia="ＭＳ ゴシック"/>
                <w:color w:val="FFFFFF" w:themeColor="background1"/>
                <w:kern w:val="0"/>
                <w:sz w:val="20"/>
              </w:rPr>
            </w:pP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実施していない</w:t>
            </w:r>
          </w:p>
          <w:p>
            <w:pPr>
              <w:pStyle w:val="0"/>
              <w:widowControl w:val="1"/>
              <w:jc w:val="left"/>
              <w:rPr>
                <w:rFonts w:hint="default" w:ascii="ＭＳ ゴシック" w:hAnsi="ＭＳ ゴシック" w:eastAsia="ＭＳ ゴシック"/>
                <w:color w:val="FFFFFF" w:themeColor="background1"/>
                <w:kern w:val="0"/>
                <w:sz w:val="20"/>
              </w:rPr>
            </w:pP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今後、実施予定</w:t>
            </w:r>
          </w:p>
          <w:p>
            <w:pPr>
              <w:pStyle w:val="0"/>
              <w:widowControl w:val="1"/>
              <w:jc w:val="left"/>
              <w:rPr>
                <w:rFonts w:hint="default" w:ascii="ＭＳ ゴシック" w:hAnsi="ＭＳ ゴシック" w:eastAsia="ＭＳ ゴシック"/>
                <w:color w:val="FFFFFF" w:themeColor="background1"/>
                <w:kern w:val="0"/>
              </w:rPr>
            </w:pP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w:t>
            </w:r>
            <w:r>
              <w:rPr>
                <w:rFonts w:hint="eastAsia" w:ascii="ＭＳ ゴシック" w:hAnsi="ＭＳ ゴシック" w:eastAsia="ＭＳ ゴシック"/>
                <w:color w:val="FFFFFF" w:themeColor="background1"/>
                <w:kern w:val="0"/>
                <w:sz w:val="20"/>
              </w:rPr>
              <w:t>該当しない</w:t>
            </w:r>
            <w:r>
              <w:rPr>
                <w:rFonts w:hint="eastAsia" w:ascii="ＭＳ ゴシック" w:hAnsi="ＭＳ ゴシック" w:eastAsia="ＭＳ ゴシック"/>
                <w:color w:val="FFFFFF" w:themeColor="background1"/>
                <w:kern w:val="0"/>
              </w:rPr>
              <w:t>　　　</w:t>
            </w:r>
          </w:p>
        </w:tc>
      </w:tr>
      <w:tr>
        <w:trPr>
          <w:trHeight w:val="479"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1-(5)-</w:t>
            </w:r>
            <w:r>
              <w:rPr>
                <w:rFonts w:hint="eastAsia" w:ascii="HGP教科書体" w:hAnsi="HGP教科書体" w:eastAsia="HGP教科書体"/>
                <w:color w:val="000000"/>
                <w:kern w:val="0"/>
                <w:sz w:val="24"/>
              </w:rPr>
              <w:t>①</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themeColor="text1"/>
                <w:sz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sz w:val="24"/>
              </w:rPr>
            </w:pPr>
          </w:p>
        </w:tc>
      </w:tr>
      <w:tr>
        <w:trPr>
          <w:trHeight w:val="479"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1-(5)-</w:t>
            </w:r>
            <w:r>
              <w:rPr>
                <w:rFonts w:hint="eastAsia" w:ascii="HGP教科書体" w:hAnsi="HGP教科書体" w:eastAsia="HGP教科書体"/>
                <w:color w:val="000000"/>
                <w:kern w:val="0"/>
                <w:sz w:val="24"/>
              </w:rPr>
              <w:t>②</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themeColor="text1"/>
                <w:sz w:val="24"/>
              </w:rPr>
              <w:t>実施した作業安全対策の内容を記録する。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sz w:val="24"/>
              </w:rPr>
            </w:pPr>
          </w:p>
        </w:tc>
      </w:tr>
      <w:tr>
        <w:trPr>
          <w:trHeight w:val="479"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9D9A3"/>
            <w:vAlign w:val="center"/>
          </w:tcPr>
          <w:p>
            <w:pPr>
              <w:pStyle w:val="0"/>
              <w:widowControl w:val="1"/>
              <w:jc w:val="left"/>
              <w:rPr>
                <w:rFonts w:hint="eastAsia" w:ascii="HGP教科書体" w:hAnsi="HGP教科書体" w:eastAsia="HGP教科書体"/>
                <w:color w:val="000000"/>
                <w:kern w:val="0"/>
                <w:sz w:val="24"/>
              </w:rPr>
            </w:pPr>
            <w:r>
              <w:rPr>
                <w:rFonts w:hint="eastAsia" w:ascii="HGP教科書体" w:hAnsi="HGP教科書体" w:eastAsia="HGP教科書体"/>
                <w:color w:val="000000"/>
                <w:kern w:val="0"/>
                <w:sz w:val="24"/>
              </w:rPr>
              <w:t>2</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9D9A3"/>
            <w:vAlign w:val="center"/>
          </w:tcPr>
          <w:p>
            <w:pPr>
              <w:pStyle w:val="0"/>
              <w:widowControl w:val="1"/>
              <w:jc w:val="left"/>
              <w:rPr>
                <w:rFonts w:hint="eastAsia" w:ascii="HGP教科書体" w:hAnsi="HGP教科書体" w:eastAsia="HGP教科書体"/>
                <w:color w:val="000000" w:themeColor="text1"/>
                <w:sz w:val="24"/>
              </w:rPr>
            </w:pPr>
            <w:r>
              <w:rPr>
                <w:rFonts w:hint="eastAsia" w:ascii="HGP教科書体" w:hAnsi="HGP教科書体" w:eastAsia="HGP教科書体"/>
                <w:color w:val="000000" w:themeColor="text1"/>
                <w:sz w:val="24"/>
              </w:rPr>
              <w:t>事故発生時に備える</w:t>
            </w:r>
          </w:p>
        </w:tc>
        <w:tc>
          <w:tcPr>
            <w:tcW w:w="256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B9D9A3"/>
            <w:vAlign w:val="center"/>
          </w:tcPr>
          <w:p>
            <w:pPr>
              <w:pStyle w:val="0"/>
              <w:widowControl w:val="1"/>
              <w:jc w:val="left"/>
              <w:rPr>
                <w:rFonts w:hint="default" w:ascii="ＭＳ ゴシック" w:hAnsi="ＭＳ ゴシック" w:eastAsia="ＭＳ ゴシック"/>
                <w:color w:val="000000"/>
                <w:kern w:val="0"/>
                <w:sz w:val="24"/>
              </w:rPr>
            </w:pPr>
          </w:p>
        </w:tc>
      </w:tr>
      <w:tr>
        <w:trPr>
          <w:trHeight w:val="613"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2-(1)</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themeColor="text1"/>
                <w:sz w:val="24"/>
              </w:rPr>
              <w:t>労災保険への加入等、補償措置の確保</w:t>
            </w:r>
          </w:p>
        </w:tc>
        <w:tc>
          <w:tcPr>
            <w:tcW w:w="256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themeFill="accent6" w:themeFillTint="33" w:themeFillShade="FF"/>
            <w:vAlign w:val="center"/>
          </w:tcPr>
          <w:p>
            <w:pPr>
              <w:pStyle w:val="0"/>
              <w:widowControl w:val="1"/>
              <w:jc w:val="left"/>
              <w:rPr>
                <w:rFonts w:hint="default" w:ascii="ＭＳ ゴシック" w:hAnsi="ＭＳ ゴシック" w:eastAsia="ＭＳ ゴシック"/>
                <w:color w:val="000000"/>
                <w:kern w:val="0"/>
                <w:sz w:val="24"/>
              </w:rPr>
            </w:pP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2-(1)-</w:t>
            </w:r>
            <w:r>
              <w:rPr>
                <w:rFonts w:hint="eastAsia" w:ascii="HGP教科書体" w:hAnsi="HGP教科書体" w:eastAsia="HGP教科書体"/>
                <w:color w:val="000000"/>
                <w:kern w:val="0"/>
                <w:sz w:val="24"/>
              </w:rPr>
              <w:t>①</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themeColor="text1"/>
                <w:sz w:val="24"/>
              </w:rPr>
              <w:t>経営者や家族従事者を含めて、労災保険やその他の補償措置を講じる。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551"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2-(2)</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事故後の速やかな対応策、再発防止策の検討と実施</w:t>
            </w:r>
          </w:p>
        </w:tc>
        <w:tc>
          <w:tcPr>
            <w:tcW w:w="256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themeFill="accent6" w:themeFillTint="33" w:themeFillShade="FF"/>
            <w:vAlign w:val="center"/>
          </w:tcPr>
          <w:p>
            <w:pPr>
              <w:pStyle w:val="0"/>
              <w:widowControl w:val="1"/>
              <w:jc w:val="left"/>
              <w:rPr>
                <w:rFonts w:hint="default" w:ascii="ＭＳ ゴシック" w:hAnsi="ＭＳ ゴシック" w:eastAsia="ＭＳ ゴシック"/>
                <w:color w:val="000000"/>
                <w:kern w:val="0"/>
                <w:sz w:val="24"/>
              </w:rPr>
            </w:pP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2-(2)-</w:t>
            </w:r>
            <w:r>
              <w:rPr>
                <w:rFonts w:hint="eastAsia" w:ascii="HGP教科書体" w:hAnsi="HGP教科書体" w:eastAsia="HGP教科書体"/>
                <w:color w:val="000000"/>
                <w:kern w:val="0"/>
                <w:sz w:val="24"/>
              </w:rPr>
              <w:t>①</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事故が発生した場合の対応（救護・搬送、連絡、その後の調査、労基署への届出、再発防止策の策定等）の手順を明文化する。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2-(3)</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事故時の事業継続のための備え</w:t>
            </w:r>
          </w:p>
        </w:tc>
        <w:tc>
          <w:tcPr>
            <w:tcW w:w="256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themeFill="accent6" w:themeFillTint="33" w:themeFillShade="FF"/>
            <w:vAlign w:val="center"/>
          </w:tcPr>
          <w:p>
            <w:pPr>
              <w:pStyle w:val="0"/>
              <w:widowControl w:val="1"/>
              <w:jc w:val="left"/>
              <w:rPr>
                <w:rFonts w:hint="default" w:ascii="ＭＳ ゴシック" w:hAnsi="ＭＳ ゴシック" w:eastAsia="ＭＳ ゴシック"/>
                <w:color w:val="000000"/>
                <w:kern w:val="0"/>
                <w:sz w:val="24"/>
              </w:rPr>
            </w:pPr>
          </w:p>
        </w:tc>
      </w:tr>
      <w:tr>
        <w:trPr>
          <w:trHeight w:val="4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2-(3)-</w:t>
            </w:r>
            <w:r>
              <w:rPr>
                <w:rFonts w:hint="eastAsia" w:ascii="HGP教科書体" w:hAnsi="HGP教科書体" w:eastAsia="HGP教科書体"/>
                <w:color w:val="000000"/>
                <w:kern w:val="0"/>
                <w:sz w:val="24"/>
              </w:rPr>
              <w:t>①</w:t>
            </w:r>
          </w:p>
        </w:tc>
        <w:tc>
          <w:tcPr>
            <w:tcW w:w="6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HGP教科書体" w:hAnsi="HGP教科書体" w:eastAsia="HGP教科書体"/>
                <w:color w:val="000000"/>
                <w:kern w:val="0"/>
                <w:sz w:val="24"/>
              </w:rPr>
            </w:pPr>
            <w:r>
              <w:rPr>
                <w:rFonts w:hint="eastAsia" w:ascii="HGP教科書体" w:hAnsi="HGP教科書体" w:eastAsia="HGP教科書体"/>
                <w:color w:val="000000"/>
                <w:kern w:val="0"/>
                <w:sz w:val="24"/>
              </w:rPr>
              <w:t>事故により従事者が作業に従事ができなくなった場合等に事業が継続できるよう、あらかじめ方策を検討する。</w:t>
            </w:r>
          </w:p>
        </w:tc>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p>
        </w:tc>
      </w:tr>
    </w:tbl>
    <w:p>
      <w:pPr>
        <w:pStyle w:val="0"/>
        <w:rPr>
          <w:rFonts w:hint="default" w:ascii="ＭＳ 明朝" w:hAnsi="ＭＳ 明朝" w:eastAsia="ＭＳ 明朝"/>
        </w:rPr>
      </w:pPr>
    </w:p>
    <w:sectPr>
      <w:headerReference r:id="rId5" w:type="default"/>
      <w:footerReference r:id="rId6" w:type="default"/>
      <w:pgSz w:w="11906" w:h="16838"/>
      <w:pgMar w:top="1134" w:right="1021" w:bottom="1134" w:left="1021" w:header="851" w:footer="992" w:gutter="0"/>
      <w:cols w:space="720"/>
      <w:textDirection w:val="lrTb"/>
      <w:docGrid w:type="lines"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r>
      <w:rPr>
        <w:rFonts w:hint="eastAsia"/>
      </w:rPr>
      <w:t>別紙５</w:t>
    </w: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3</Pages>
  <Words>94</Words>
  <Characters>1514</Characters>
  <Application>JUST Note</Application>
  <Lines>161</Lines>
  <Paragraphs>103</Paragraphs>
  <CharactersWithSpaces>1554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牧野　裕介</dc:creator>
  <cp:lastModifiedBy>牧野　裕介</cp:lastModifiedBy>
  <cp:lastPrinted>2022-03-22T09:02:42Z</cp:lastPrinted>
  <dcterms:created xsi:type="dcterms:W3CDTF">2022-03-22T09:01:00Z</dcterms:created>
  <dcterms:modified xsi:type="dcterms:W3CDTF">2022-03-22T09:01:56Z</dcterms:modified>
  <cp:revision>8</cp:revision>
</cp:coreProperties>
</file>