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sz w:val="24"/>
        </w:rPr>
      </w:pPr>
      <w:r>
        <w:rPr>
          <w:rFonts w:hint="eastAsia"/>
          <w:sz w:val="24"/>
        </w:rPr>
        <w:t>平成</w:t>
      </w:r>
      <w:r>
        <w:rPr>
          <w:rFonts w:hint="eastAsia"/>
          <w:color w:val="auto"/>
          <w:sz w:val="24"/>
        </w:rPr>
        <w:t>３１</w:t>
      </w:r>
      <w:r>
        <w:rPr>
          <w:rFonts w:hint="eastAsia"/>
          <w:sz w:val="24"/>
        </w:rPr>
        <w:t>年度秩父市障がい者優先調達推進方針</w:t>
      </w:r>
    </w:p>
    <w:p>
      <w:pPr>
        <w:pStyle w:val="0"/>
        <w:ind w:right="240"/>
        <w:jc w:val="right"/>
        <w:rPr>
          <w:rFonts w:hint="default"/>
          <w:sz w:val="24"/>
          <w:shd w:val="pct15" w:color="auto" w:fill="FFFFFF"/>
        </w:rPr>
      </w:pPr>
      <w:r>
        <w:rPr>
          <w:rFonts w:hint="eastAsia"/>
          <w:sz w:val="24"/>
        </w:rPr>
        <w:t>令和元年６月３０</w:t>
      </w:r>
      <w:bookmarkStart w:id="0" w:name="_GoBack"/>
      <w:bookmarkEnd w:id="0"/>
      <w:r>
        <w:rPr>
          <w:rFonts w:hint="eastAsia"/>
          <w:sz w:val="24"/>
        </w:rPr>
        <w:t>日策定</w:t>
      </w:r>
    </w:p>
    <w:p>
      <w:pPr>
        <w:pStyle w:val="0"/>
        <w:jc w:val="left"/>
        <w:rPr>
          <w:rFonts w:hint="default"/>
          <w:sz w:val="24"/>
        </w:rPr>
      </w:pPr>
      <w:r>
        <w:rPr>
          <w:rFonts w:hint="eastAsia"/>
          <w:sz w:val="24"/>
        </w:rPr>
        <w:t>１　策定趣旨</w:t>
      </w:r>
    </w:p>
    <w:p>
      <w:pPr>
        <w:pStyle w:val="0"/>
        <w:ind w:left="240" w:hanging="240" w:hangingChars="100"/>
        <w:jc w:val="left"/>
        <w:rPr>
          <w:rFonts w:hint="default"/>
          <w:sz w:val="24"/>
        </w:rPr>
      </w:pPr>
      <w:r>
        <w:rPr>
          <w:rFonts w:hint="eastAsia"/>
          <w:sz w:val="24"/>
        </w:rPr>
        <w:t>　　平成２５年４月１日に国等による障害者就労施設等からの物品等の調達の推進等に関する法律（平成２４年法律第５０号。以下「障害者優先調達推進法」という。）が施行されたことに伴い、市が行う物品及び役務（以下「物品等」という。）の調達において、障害者優先調達推進法第９条に基づき平成３１年度秩父市障がい者優先調達推進方針を策定し、本市における障がい者優先調達の一層の推進を図る。</w:t>
      </w:r>
    </w:p>
    <w:p>
      <w:pPr>
        <w:pStyle w:val="0"/>
        <w:ind w:left="240" w:hanging="240" w:hangingChars="100"/>
        <w:jc w:val="left"/>
        <w:rPr>
          <w:rFonts w:hint="default"/>
          <w:sz w:val="24"/>
        </w:rPr>
      </w:pPr>
    </w:p>
    <w:p>
      <w:pPr>
        <w:pStyle w:val="0"/>
        <w:ind w:left="240" w:hanging="240" w:hangingChars="100"/>
        <w:jc w:val="left"/>
        <w:rPr>
          <w:rFonts w:hint="default"/>
          <w:sz w:val="24"/>
        </w:rPr>
      </w:pPr>
      <w:r>
        <w:rPr>
          <w:rFonts w:hint="eastAsia"/>
          <w:sz w:val="24"/>
        </w:rPr>
        <w:t>２　適用範囲</w:t>
      </w:r>
    </w:p>
    <w:p>
      <w:pPr>
        <w:pStyle w:val="0"/>
        <w:ind w:left="240" w:hanging="240" w:hangingChars="100"/>
        <w:jc w:val="left"/>
        <w:rPr>
          <w:rFonts w:hint="default"/>
          <w:sz w:val="24"/>
        </w:rPr>
      </w:pPr>
      <w:r>
        <w:rPr>
          <w:rFonts w:hint="eastAsia"/>
          <w:sz w:val="24"/>
        </w:rPr>
        <w:t>　　本方針の適用範囲は、本市の全ての機関が発注する物品等の調達とする。</w:t>
      </w:r>
    </w:p>
    <w:p>
      <w:pPr>
        <w:pStyle w:val="0"/>
        <w:ind w:left="240" w:hanging="240" w:hangingChars="100"/>
        <w:jc w:val="left"/>
        <w:rPr>
          <w:rFonts w:hint="default"/>
          <w:sz w:val="24"/>
        </w:rPr>
      </w:pPr>
    </w:p>
    <w:p>
      <w:pPr>
        <w:pStyle w:val="0"/>
        <w:ind w:left="240" w:hanging="240" w:hangingChars="100"/>
        <w:jc w:val="left"/>
        <w:rPr>
          <w:rFonts w:hint="default"/>
          <w:sz w:val="24"/>
        </w:rPr>
      </w:pPr>
      <w:r>
        <w:rPr>
          <w:rFonts w:hint="eastAsia"/>
          <w:sz w:val="24"/>
        </w:rPr>
        <w:t>３　対象となる障がい者就労施設等</w:t>
      </w:r>
    </w:p>
    <w:p>
      <w:pPr>
        <w:pStyle w:val="0"/>
        <w:ind w:left="240" w:hanging="240" w:hangingChars="100"/>
        <w:jc w:val="left"/>
        <w:rPr>
          <w:rFonts w:hint="default"/>
          <w:sz w:val="24"/>
        </w:rPr>
      </w:pPr>
      <w:r>
        <w:rPr>
          <w:rFonts w:hint="eastAsia"/>
          <w:sz w:val="24"/>
        </w:rPr>
        <w:t>　　対象となる障がい者就労施設等は、次のとおりとする。</w:t>
      </w:r>
    </w:p>
    <w:p>
      <w:pPr>
        <w:pStyle w:val="0"/>
        <w:ind w:left="570" w:leftChars="100" w:hanging="360" w:hangingChars="150"/>
        <w:jc w:val="left"/>
        <w:rPr>
          <w:rFonts w:hint="default"/>
          <w:sz w:val="24"/>
        </w:rPr>
      </w:pPr>
      <w:r>
        <w:rPr>
          <w:rFonts w:hint="eastAsia"/>
          <w:sz w:val="24"/>
        </w:rPr>
        <w:t>(</w:t>
      </w:r>
      <w:r>
        <w:rPr>
          <w:rFonts w:hint="eastAsia"/>
          <w:sz w:val="24"/>
        </w:rPr>
        <w:t>１</w:t>
      </w:r>
      <w:r>
        <w:rPr>
          <w:rFonts w:hint="eastAsia"/>
          <w:sz w:val="24"/>
        </w:rPr>
        <w:t>)</w:t>
      </w:r>
      <w:r>
        <w:rPr>
          <w:rFonts w:hint="eastAsia"/>
          <w:sz w:val="24"/>
        </w:rPr>
        <w:t>障害者の日常生活及び社会生活を総合的に支援するための法律に基づく施設等</w:t>
      </w:r>
    </w:p>
    <w:p>
      <w:pPr>
        <w:pStyle w:val="0"/>
        <w:ind w:left="480" w:hanging="480" w:hangingChars="200"/>
        <w:jc w:val="left"/>
        <w:rPr>
          <w:rFonts w:hint="default"/>
          <w:sz w:val="24"/>
        </w:rPr>
      </w:pPr>
      <w:r>
        <w:rPr>
          <w:rFonts w:hint="eastAsia"/>
          <w:sz w:val="24"/>
        </w:rPr>
        <w:t>　　ア　就労継続支援事業所（</w:t>
      </w:r>
      <w:r>
        <w:rPr>
          <w:rFonts w:hint="eastAsia"/>
          <w:sz w:val="24"/>
        </w:rPr>
        <w:t>A</w:t>
      </w:r>
      <w:r>
        <w:rPr>
          <w:rFonts w:hint="eastAsia"/>
          <w:sz w:val="24"/>
        </w:rPr>
        <w:t>型、</w:t>
      </w:r>
      <w:r>
        <w:rPr>
          <w:rFonts w:hint="eastAsia"/>
          <w:sz w:val="24"/>
        </w:rPr>
        <w:t>B</w:t>
      </w:r>
      <w:r>
        <w:rPr>
          <w:rFonts w:hint="eastAsia"/>
          <w:sz w:val="24"/>
        </w:rPr>
        <w:t>型）</w:t>
      </w:r>
    </w:p>
    <w:p>
      <w:pPr>
        <w:pStyle w:val="0"/>
        <w:ind w:left="480" w:hanging="480" w:hangingChars="200"/>
        <w:jc w:val="left"/>
        <w:rPr>
          <w:rFonts w:hint="default"/>
          <w:sz w:val="24"/>
        </w:rPr>
      </w:pPr>
      <w:r>
        <w:rPr>
          <w:rFonts w:hint="eastAsia"/>
          <w:sz w:val="24"/>
        </w:rPr>
        <w:t>　　イ　就労移行支援事業所</w:t>
      </w:r>
    </w:p>
    <w:p>
      <w:pPr>
        <w:pStyle w:val="0"/>
        <w:ind w:left="480" w:hanging="480" w:hangingChars="200"/>
        <w:jc w:val="left"/>
        <w:rPr>
          <w:rFonts w:hint="default"/>
          <w:sz w:val="24"/>
        </w:rPr>
      </w:pPr>
      <w:r>
        <w:rPr>
          <w:rFonts w:hint="eastAsia"/>
          <w:sz w:val="24"/>
        </w:rPr>
        <w:t>　　ウ　生活介護事業所</w:t>
      </w:r>
    </w:p>
    <w:p>
      <w:pPr>
        <w:pStyle w:val="0"/>
        <w:ind w:left="720" w:hanging="720" w:hangingChars="300"/>
        <w:jc w:val="left"/>
        <w:rPr>
          <w:rFonts w:hint="default"/>
          <w:sz w:val="24"/>
        </w:rPr>
      </w:pPr>
      <w:r>
        <w:rPr>
          <w:rFonts w:hint="eastAsia"/>
          <w:sz w:val="24"/>
        </w:rPr>
        <w:t>　　エ　障がい者支援施設（生活介護、就労移行支援、就労継続支援を行う入所施設）</w:t>
      </w:r>
    </w:p>
    <w:p>
      <w:pPr>
        <w:pStyle w:val="0"/>
        <w:ind w:left="720" w:hanging="720" w:hangingChars="300"/>
        <w:jc w:val="left"/>
        <w:rPr>
          <w:rFonts w:hint="default"/>
          <w:sz w:val="24"/>
        </w:rPr>
      </w:pPr>
      <w:r>
        <w:rPr>
          <w:rFonts w:hint="eastAsia"/>
          <w:sz w:val="24"/>
        </w:rPr>
        <w:t>　　オ　地域活動支援センター</w:t>
      </w:r>
    </w:p>
    <w:p>
      <w:pPr>
        <w:pStyle w:val="0"/>
        <w:ind w:left="690" w:leftChars="100" w:hanging="480" w:hangingChars="200"/>
        <w:jc w:val="left"/>
        <w:rPr>
          <w:rFonts w:hint="default"/>
          <w:sz w:val="24"/>
        </w:rPr>
      </w:pPr>
      <w:r>
        <w:rPr>
          <w:rFonts w:hint="eastAsia"/>
          <w:sz w:val="24"/>
        </w:rPr>
        <w:t>(</w:t>
      </w:r>
      <w:r>
        <w:rPr>
          <w:rFonts w:hint="eastAsia"/>
          <w:sz w:val="24"/>
        </w:rPr>
        <w:t>２</w:t>
      </w:r>
      <w:r>
        <w:rPr>
          <w:rFonts w:hint="eastAsia"/>
          <w:sz w:val="24"/>
        </w:rPr>
        <w:t>)</w:t>
      </w:r>
      <w:r>
        <w:rPr>
          <w:rFonts w:hint="eastAsia"/>
          <w:sz w:val="24"/>
        </w:rPr>
        <w:t>障害者基本法に基づく助成を受けている小規模作業所</w:t>
      </w:r>
    </w:p>
    <w:p>
      <w:pPr>
        <w:pStyle w:val="0"/>
        <w:ind w:left="690" w:leftChars="100" w:hanging="480" w:hangingChars="200"/>
        <w:jc w:val="left"/>
        <w:rPr>
          <w:rFonts w:hint="default"/>
          <w:sz w:val="24"/>
        </w:rPr>
      </w:pPr>
      <w:r>
        <w:rPr>
          <w:rFonts w:hint="eastAsia"/>
          <w:sz w:val="24"/>
        </w:rPr>
        <w:t>(</w:t>
      </w:r>
      <w:r>
        <w:rPr>
          <w:rFonts w:hint="eastAsia"/>
          <w:sz w:val="24"/>
        </w:rPr>
        <w:t>３</w:t>
      </w:r>
      <w:r>
        <w:rPr>
          <w:rFonts w:hint="eastAsia"/>
          <w:sz w:val="24"/>
        </w:rPr>
        <w:t>)</w:t>
      </w:r>
      <w:r>
        <w:rPr>
          <w:rFonts w:hint="eastAsia"/>
          <w:sz w:val="24"/>
        </w:rPr>
        <w:t>障害者優先調達推進法の政令に基づく事業所</w:t>
      </w:r>
    </w:p>
    <w:p>
      <w:pPr>
        <w:pStyle w:val="0"/>
        <w:ind w:left="720" w:hanging="720" w:hangingChars="300"/>
        <w:jc w:val="left"/>
        <w:rPr>
          <w:rFonts w:hint="default"/>
          <w:sz w:val="24"/>
        </w:rPr>
      </w:pPr>
      <w:r>
        <w:rPr>
          <w:rFonts w:hint="eastAsia"/>
          <w:sz w:val="24"/>
        </w:rPr>
        <w:t>　　ア　障害者の雇用の促進等に関する法律（以下「障害者雇用促進法」という。）に基づく子会社の事業所（特例子会社）</w:t>
      </w:r>
    </w:p>
    <w:p>
      <w:pPr>
        <w:pStyle w:val="0"/>
        <w:ind w:left="720" w:hanging="720" w:hangingChars="300"/>
        <w:jc w:val="left"/>
        <w:rPr>
          <w:rFonts w:hint="default"/>
          <w:sz w:val="24"/>
        </w:rPr>
      </w:pPr>
      <w:r>
        <w:rPr>
          <w:rFonts w:hint="eastAsia"/>
          <w:sz w:val="24"/>
        </w:rPr>
        <w:t>　　イ　重度障がい者多数雇用事業所（①～③の全てを満たすもの）</w:t>
      </w:r>
    </w:p>
    <w:p>
      <w:pPr>
        <w:pStyle w:val="0"/>
        <w:ind w:left="720" w:hanging="720" w:hangingChars="300"/>
        <w:jc w:val="left"/>
        <w:rPr>
          <w:rFonts w:hint="default"/>
          <w:sz w:val="24"/>
        </w:rPr>
      </w:pPr>
      <w:r>
        <w:rPr>
          <w:rFonts w:hint="eastAsia"/>
          <w:sz w:val="24"/>
        </w:rPr>
        <w:t>　　　①障がい者の雇用者数が５人以上</w:t>
      </w:r>
    </w:p>
    <w:p>
      <w:pPr>
        <w:pStyle w:val="0"/>
        <w:ind w:left="720" w:hanging="720" w:hangingChars="300"/>
        <w:jc w:val="left"/>
        <w:rPr>
          <w:rFonts w:hint="default"/>
          <w:sz w:val="24"/>
        </w:rPr>
      </w:pPr>
      <w:r>
        <w:rPr>
          <w:rFonts w:hint="eastAsia"/>
          <w:sz w:val="24"/>
        </w:rPr>
        <w:t>　　　②障がい者の割合が従業員の２０％以上</w:t>
      </w:r>
    </w:p>
    <w:p>
      <w:pPr>
        <w:pStyle w:val="0"/>
        <w:ind w:left="720" w:hanging="720" w:hangingChars="300"/>
        <w:jc w:val="left"/>
        <w:rPr>
          <w:rFonts w:hint="default"/>
          <w:sz w:val="24"/>
        </w:rPr>
      </w:pPr>
      <w:r>
        <w:rPr>
          <w:rFonts w:hint="eastAsia"/>
          <w:sz w:val="24"/>
        </w:rPr>
        <w:t>　　　③雇用障がい者に占める重度身体障がい者、知的障がい者及び精神障がい者の割合が３０％以上</w:t>
      </w:r>
    </w:p>
    <w:p>
      <w:pPr>
        <w:pStyle w:val="0"/>
        <w:ind w:left="690" w:leftChars="100" w:hanging="480" w:hangingChars="200"/>
        <w:jc w:val="left"/>
        <w:rPr>
          <w:rFonts w:hint="default"/>
          <w:sz w:val="24"/>
        </w:rPr>
      </w:pPr>
      <w:r>
        <w:rPr>
          <w:rFonts w:hint="eastAsia"/>
          <w:sz w:val="24"/>
        </w:rPr>
        <w:t>(</w:t>
      </w:r>
      <w:r>
        <w:rPr>
          <w:rFonts w:hint="eastAsia"/>
          <w:sz w:val="24"/>
        </w:rPr>
        <w:t>４</w:t>
      </w:r>
      <w:r>
        <w:rPr>
          <w:rFonts w:hint="eastAsia"/>
          <w:sz w:val="24"/>
        </w:rPr>
        <w:t>)</w:t>
      </w:r>
      <w:r>
        <w:rPr>
          <w:rFonts w:hint="eastAsia"/>
          <w:sz w:val="24"/>
        </w:rPr>
        <w:t>障害者雇用促進法に基づく在宅就業障がい者及び在宅就業支援団体</w:t>
      </w:r>
    </w:p>
    <w:p>
      <w:pPr>
        <w:pStyle w:val="0"/>
        <w:ind w:left="690" w:leftChars="100" w:hanging="480" w:hangingChars="200"/>
        <w:jc w:val="left"/>
        <w:rPr>
          <w:rFonts w:hint="default"/>
          <w:sz w:val="24"/>
        </w:rPr>
      </w:pPr>
    </w:p>
    <w:p>
      <w:pPr>
        <w:pStyle w:val="0"/>
        <w:ind w:left="720" w:hanging="720" w:hangingChars="300"/>
        <w:jc w:val="left"/>
        <w:rPr>
          <w:rFonts w:hint="default"/>
          <w:sz w:val="24"/>
        </w:rPr>
      </w:pPr>
      <w:r>
        <w:rPr>
          <w:rFonts w:hint="eastAsia"/>
          <w:sz w:val="24"/>
        </w:rPr>
        <w:t>４　調達する物品等の種類</w:t>
      </w:r>
    </w:p>
    <w:p>
      <w:pPr>
        <w:pStyle w:val="0"/>
        <w:ind w:left="720" w:hanging="720" w:hangingChars="300"/>
        <w:jc w:val="left"/>
        <w:rPr>
          <w:rFonts w:hint="default"/>
          <w:sz w:val="24"/>
        </w:rPr>
      </w:pPr>
      <w:r>
        <w:rPr>
          <w:rFonts w:hint="eastAsia"/>
          <w:sz w:val="24"/>
        </w:rPr>
        <w:t>　　特に分野を限定することなく、調達に努める。</w:t>
      </w:r>
    </w:p>
    <w:p>
      <w:pPr>
        <w:pStyle w:val="0"/>
        <w:ind w:left="720" w:hanging="720" w:hangingChars="300"/>
        <w:jc w:val="left"/>
        <w:rPr>
          <w:rFonts w:hint="default"/>
          <w:sz w:val="24"/>
        </w:rPr>
      </w:pPr>
      <w:r>
        <w:rPr>
          <w:rFonts w:hint="eastAsia"/>
          <w:sz w:val="24"/>
        </w:rPr>
        <w:t>　　</w:t>
      </w:r>
    </w:p>
    <w:p>
      <w:pPr>
        <w:pStyle w:val="0"/>
        <w:ind w:left="720" w:hanging="720" w:hangingChars="300"/>
        <w:jc w:val="left"/>
        <w:rPr>
          <w:rFonts w:hint="default"/>
          <w:sz w:val="24"/>
        </w:rPr>
      </w:pPr>
      <w:r>
        <w:rPr>
          <w:rFonts w:hint="eastAsia"/>
          <w:sz w:val="24"/>
        </w:rPr>
        <w:t>５　基本的な考え方</w:t>
      </w:r>
    </w:p>
    <w:p>
      <w:pPr>
        <w:pStyle w:val="0"/>
        <w:ind w:left="690" w:leftChars="100" w:hanging="480" w:hangingChars="200"/>
        <w:jc w:val="left"/>
        <w:rPr>
          <w:rFonts w:hint="default"/>
          <w:sz w:val="24"/>
        </w:rPr>
      </w:pPr>
      <w:r>
        <w:rPr>
          <w:rFonts w:hint="eastAsia"/>
          <w:sz w:val="24"/>
        </w:rPr>
        <w:t>(</w:t>
      </w:r>
      <w:r>
        <w:rPr>
          <w:rFonts w:hint="eastAsia"/>
          <w:sz w:val="24"/>
        </w:rPr>
        <w:t>１</w:t>
      </w:r>
      <w:r>
        <w:rPr>
          <w:rFonts w:hint="eastAsia"/>
          <w:sz w:val="24"/>
        </w:rPr>
        <w:t>)</w:t>
      </w:r>
      <w:r>
        <w:rPr>
          <w:rFonts w:hint="eastAsia"/>
          <w:sz w:val="24"/>
        </w:rPr>
        <w:t>障がい者優先調達の推進については、全庁的に取り組むものとする。</w:t>
      </w:r>
    </w:p>
    <w:p>
      <w:pPr>
        <w:pStyle w:val="0"/>
        <w:ind w:left="515" w:leftChars="100" w:hanging="305" w:hangingChars="127"/>
        <w:jc w:val="left"/>
        <w:rPr>
          <w:rFonts w:hint="default"/>
          <w:sz w:val="24"/>
        </w:rPr>
      </w:pPr>
      <w:r>
        <w:rPr>
          <w:rFonts w:hint="eastAsia"/>
          <w:sz w:val="24"/>
        </w:rPr>
        <w:t>(</w:t>
      </w:r>
      <w:r>
        <w:rPr>
          <w:rFonts w:hint="eastAsia"/>
          <w:sz w:val="24"/>
        </w:rPr>
        <w:t>２</w:t>
      </w:r>
      <w:r>
        <w:rPr>
          <w:rFonts w:hint="eastAsia"/>
          <w:sz w:val="24"/>
        </w:rPr>
        <w:t>)</w:t>
      </w:r>
      <w:r>
        <w:rPr>
          <w:rFonts w:hint="eastAsia"/>
          <w:sz w:val="24"/>
        </w:rPr>
        <w:t>予算の適正な執行に留意しつつ、調達の推進に配慮するよう努めるものとする。</w:t>
      </w:r>
    </w:p>
    <w:p>
      <w:pPr>
        <w:pStyle w:val="0"/>
        <w:ind w:left="570" w:leftChars="100" w:hanging="360" w:hangingChars="150"/>
        <w:jc w:val="left"/>
        <w:rPr>
          <w:rFonts w:hint="default"/>
          <w:sz w:val="24"/>
        </w:rPr>
      </w:pPr>
      <w:r>
        <w:rPr>
          <w:rFonts w:hint="eastAsia"/>
          <w:sz w:val="24"/>
        </w:rPr>
        <w:t>(</w:t>
      </w:r>
      <w:r>
        <w:rPr>
          <w:rFonts w:hint="eastAsia"/>
          <w:sz w:val="24"/>
        </w:rPr>
        <w:t>３</w:t>
      </w:r>
      <w:r>
        <w:rPr>
          <w:rFonts w:hint="eastAsia"/>
          <w:sz w:val="24"/>
        </w:rPr>
        <w:t>)</w:t>
      </w:r>
      <w:r>
        <w:rPr>
          <w:rFonts w:hint="eastAsia"/>
          <w:sz w:val="24"/>
        </w:rPr>
        <w:t>物品等の調達に当たっては、可能な限り市内の障がい者就労施設等からの調達に努めるものとする。</w:t>
      </w:r>
    </w:p>
    <w:p>
      <w:pPr>
        <w:pStyle w:val="0"/>
        <w:ind w:left="570" w:leftChars="100" w:hanging="360" w:hangingChars="150"/>
        <w:jc w:val="left"/>
        <w:rPr>
          <w:rFonts w:hint="default"/>
          <w:sz w:val="24"/>
        </w:rPr>
      </w:pPr>
      <w:r>
        <w:rPr>
          <w:rFonts w:hint="eastAsia"/>
          <w:sz w:val="24"/>
        </w:rPr>
        <w:t>(</w:t>
      </w:r>
      <w:r>
        <w:rPr>
          <w:rFonts w:hint="eastAsia"/>
          <w:sz w:val="24"/>
        </w:rPr>
        <w:t>４</w:t>
      </w:r>
      <w:r>
        <w:rPr>
          <w:rFonts w:hint="eastAsia"/>
          <w:sz w:val="24"/>
        </w:rPr>
        <w:t>)</w:t>
      </w:r>
      <w:r>
        <w:rPr>
          <w:rFonts w:hint="eastAsia"/>
          <w:sz w:val="24"/>
        </w:rPr>
        <w:t>共同受注窓口を介した調達は、障がい者就労施設等からの調達に準じて取り扱うこと。</w:t>
      </w:r>
    </w:p>
    <w:p>
      <w:pPr>
        <w:pStyle w:val="0"/>
        <w:ind w:left="515" w:leftChars="100" w:hanging="305" w:hangingChars="127"/>
        <w:jc w:val="left"/>
        <w:rPr>
          <w:rFonts w:hint="default"/>
          <w:sz w:val="24"/>
        </w:rPr>
      </w:pPr>
      <w:r>
        <w:rPr>
          <w:rFonts w:hint="eastAsia"/>
          <w:sz w:val="24"/>
        </w:rPr>
        <w:t>(</w:t>
      </w:r>
      <w:r>
        <w:rPr>
          <w:rFonts w:hint="eastAsia"/>
          <w:sz w:val="24"/>
        </w:rPr>
        <w:t>５</w:t>
      </w:r>
      <w:r>
        <w:rPr>
          <w:rFonts w:hint="eastAsia"/>
          <w:sz w:val="24"/>
        </w:rPr>
        <w:t>)</w:t>
      </w:r>
      <w:r>
        <w:rPr>
          <w:rFonts w:hint="eastAsia"/>
          <w:sz w:val="24"/>
        </w:rPr>
        <w:t>物品等の調達のほか、障がい者就労施設等の市庁舎内での物品の販売や市及び関係団体等が実施するイベント等での販売スペースの確保など、販売機会の確保及び市民等へのＰＲの推進にも努めることとする。</w:t>
      </w:r>
    </w:p>
    <w:p>
      <w:pPr>
        <w:pStyle w:val="0"/>
        <w:ind w:left="720" w:hanging="720" w:hangingChars="300"/>
        <w:jc w:val="left"/>
        <w:rPr>
          <w:rFonts w:hint="default"/>
          <w:sz w:val="24"/>
        </w:rPr>
      </w:pPr>
    </w:p>
    <w:p>
      <w:pPr>
        <w:pStyle w:val="0"/>
        <w:ind w:left="720" w:hanging="720" w:hangingChars="300"/>
        <w:jc w:val="left"/>
        <w:rPr>
          <w:rFonts w:hint="default"/>
          <w:sz w:val="24"/>
        </w:rPr>
      </w:pPr>
      <w:r>
        <w:rPr>
          <w:rFonts w:hint="eastAsia"/>
          <w:sz w:val="24"/>
        </w:rPr>
        <w:t>６　調達の実施</w:t>
      </w:r>
    </w:p>
    <w:p>
      <w:pPr>
        <w:pStyle w:val="0"/>
        <w:ind w:left="544" w:leftChars="-524" w:hanging="1644" w:hangingChars="685"/>
        <w:jc w:val="left"/>
        <w:rPr>
          <w:rFonts w:hint="default"/>
          <w:sz w:val="24"/>
        </w:rPr>
      </w:pPr>
      <w:r>
        <w:rPr>
          <w:rFonts w:hint="eastAsia"/>
          <w:sz w:val="24"/>
        </w:rPr>
        <w:t>　　　　　</w:t>
      </w:r>
      <w:r>
        <w:rPr>
          <w:rFonts w:hint="eastAsia"/>
          <w:sz w:val="24"/>
        </w:rPr>
        <w:t xml:space="preserve"> (</w:t>
      </w:r>
      <w:r>
        <w:rPr>
          <w:rFonts w:hint="eastAsia"/>
          <w:sz w:val="24"/>
        </w:rPr>
        <w:t>１</w:t>
      </w:r>
      <w:r>
        <w:rPr>
          <w:rFonts w:hint="eastAsia"/>
          <w:sz w:val="24"/>
        </w:rPr>
        <w:t>)</w:t>
      </w:r>
      <w:r>
        <w:rPr>
          <w:rFonts w:hint="eastAsia"/>
          <w:sz w:val="24"/>
        </w:rPr>
        <w:t>調達方針を担当する課は、障がい者就労施設等からの提供可能な物品購入及び役務提供等についての情報を収集し、各課（所）が調達を円滑に進めることができるよう、必要な情報を提供する。</w:t>
      </w:r>
    </w:p>
    <w:p>
      <w:pPr>
        <w:pStyle w:val="0"/>
        <w:ind w:left="524" w:leftChars="78" w:hanging="360" w:hangingChars="150"/>
        <w:jc w:val="left"/>
        <w:rPr>
          <w:rFonts w:hint="default"/>
          <w:sz w:val="24"/>
        </w:rPr>
      </w:pPr>
      <w:r>
        <w:rPr>
          <w:rFonts w:hint="eastAsia"/>
          <w:sz w:val="24"/>
        </w:rPr>
        <w:t>(</w:t>
      </w:r>
      <w:r>
        <w:rPr>
          <w:rFonts w:hint="eastAsia"/>
          <w:sz w:val="24"/>
        </w:rPr>
        <w:t>２</w:t>
      </w:r>
      <w:r>
        <w:rPr>
          <w:rFonts w:hint="eastAsia"/>
          <w:sz w:val="24"/>
        </w:rPr>
        <w:t>)</w:t>
      </w:r>
      <w:r>
        <w:rPr>
          <w:rFonts w:hint="eastAsia"/>
          <w:sz w:val="24"/>
        </w:rPr>
        <w:t>障がい者就労施設等からの物品等の調達に当たっては、秩父市契約規則（平成１７年規則第５７号）第３８条に定める額を超えない場合については、障がい者就労施設等と随時契約（地方自治法施行令第１６７条の２第１項第１号）により契約を締結する。</w:t>
      </w:r>
    </w:p>
    <w:p>
      <w:pPr>
        <w:pStyle w:val="0"/>
        <w:ind w:left="720" w:hanging="720" w:hangingChars="300"/>
        <w:jc w:val="left"/>
        <w:rPr>
          <w:rFonts w:hint="default"/>
          <w:sz w:val="24"/>
        </w:rPr>
      </w:pPr>
    </w:p>
    <w:p>
      <w:pPr>
        <w:pStyle w:val="0"/>
        <w:ind w:left="720" w:hanging="720" w:hangingChars="300"/>
        <w:jc w:val="left"/>
        <w:rPr>
          <w:rFonts w:hint="default"/>
          <w:sz w:val="24"/>
        </w:rPr>
      </w:pPr>
      <w:r>
        <w:rPr>
          <w:rFonts w:hint="eastAsia"/>
          <w:sz w:val="24"/>
        </w:rPr>
        <w:t>７　調達の目標</w:t>
      </w:r>
    </w:p>
    <w:p>
      <w:pPr>
        <w:pStyle w:val="0"/>
        <w:ind w:left="720" w:hanging="720" w:hangingChars="300"/>
        <w:jc w:val="left"/>
        <w:rPr>
          <w:rFonts w:hint="default"/>
          <w:sz w:val="24"/>
        </w:rPr>
      </w:pPr>
      <w:r>
        <w:rPr>
          <w:rFonts w:hint="eastAsia"/>
          <w:sz w:val="24"/>
        </w:rPr>
        <w:t>　　平成</w:t>
      </w:r>
      <w:r>
        <w:rPr>
          <w:rFonts w:hint="eastAsia"/>
          <w:color w:val="auto"/>
          <w:sz w:val="24"/>
        </w:rPr>
        <w:t>３１</w:t>
      </w:r>
      <w:r>
        <w:rPr>
          <w:rFonts w:hint="eastAsia"/>
          <w:sz w:val="24"/>
        </w:rPr>
        <w:t>年度の調達の目標を、次のとおり設定する。</w:t>
      </w:r>
    </w:p>
    <w:p>
      <w:pPr>
        <w:pStyle w:val="0"/>
        <w:ind w:firstLine="480" w:firstLineChars="200"/>
        <w:jc w:val="left"/>
        <w:rPr>
          <w:rFonts w:hint="default"/>
          <w:sz w:val="24"/>
        </w:rPr>
      </w:pPr>
      <w:r>
        <w:rPr>
          <w:rFonts w:hint="eastAsia"/>
          <w:sz w:val="24"/>
        </w:rPr>
        <w:t>優先調達の目標額　　　</w:t>
      </w:r>
      <w:r>
        <w:rPr>
          <w:rFonts w:hint="eastAsia"/>
          <w:color w:val="auto"/>
          <w:sz w:val="24"/>
        </w:rPr>
        <w:t>８７６</w:t>
      </w:r>
      <w:r>
        <w:rPr>
          <w:rFonts w:hint="eastAsia"/>
          <w:sz w:val="24"/>
        </w:rPr>
        <w:t>万円以上</w:t>
      </w:r>
    </w:p>
    <w:p>
      <w:pPr>
        <w:pStyle w:val="0"/>
        <w:ind w:left="720" w:hanging="720" w:hangingChars="300"/>
        <w:jc w:val="left"/>
        <w:rPr>
          <w:rFonts w:hint="default"/>
          <w:sz w:val="24"/>
        </w:rPr>
      </w:pPr>
    </w:p>
    <w:p>
      <w:pPr>
        <w:pStyle w:val="0"/>
        <w:ind w:left="720" w:hanging="720" w:hangingChars="300"/>
        <w:jc w:val="left"/>
        <w:rPr>
          <w:rFonts w:hint="default"/>
          <w:sz w:val="24"/>
        </w:rPr>
      </w:pPr>
      <w:r>
        <w:rPr>
          <w:rFonts w:hint="eastAsia"/>
          <w:sz w:val="24"/>
        </w:rPr>
        <w:t>８　調達方針及び調達実績の公表</w:t>
      </w:r>
    </w:p>
    <w:p>
      <w:pPr>
        <w:pStyle w:val="0"/>
        <w:ind w:firstLine="240" w:firstLineChars="100"/>
        <w:jc w:val="left"/>
        <w:rPr>
          <w:rFonts w:hint="default"/>
          <w:sz w:val="24"/>
        </w:rPr>
      </w:pPr>
      <w:r>
        <w:rPr>
          <w:rFonts w:hint="eastAsia"/>
          <w:sz w:val="24"/>
        </w:rPr>
        <w:t>(</w:t>
      </w:r>
      <w:r>
        <w:rPr>
          <w:rFonts w:hint="eastAsia"/>
          <w:sz w:val="24"/>
        </w:rPr>
        <w:t>１</w:t>
      </w:r>
      <w:r>
        <w:rPr>
          <w:rFonts w:hint="eastAsia"/>
          <w:sz w:val="24"/>
        </w:rPr>
        <w:t>)</w:t>
      </w:r>
      <w:r>
        <w:rPr>
          <w:rFonts w:hint="eastAsia"/>
          <w:sz w:val="24"/>
        </w:rPr>
        <w:t>本方針を策定又は見直しをしたときは、市ホームページ等により公表する。</w:t>
      </w:r>
    </w:p>
    <w:p>
      <w:pPr>
        <w:pStyle w:val="0"/>
        <w:ind w:left="600" w:hanging="600" w:hangingChars="250"/>
        <w:jc w:val="left"/>
        <w:rPr>
          <w:rFonts w:hint="default"/>
          <w:sz w:val="24"/>
        </w:rPr>
      </w:pPr>
      <w:r>
        <w:rPr>
          <w:rFonts w:hint="eastAsia"/>
          <w:sz w:val="24"/>
        </w:rPr>
        <w:t>　</w:t>
      </w:r>
      <w:r>
        <w:rPr>
          <w:rFonts w:hint="eastAsia"/>
          <w:sz w:val="24"/>
        </w:rPr>
        <w:t>(</w:t>
      </w:r>
      <w:r>
        <w:rPr>
          <w:rFonts w:hint="eastAsia"/>
          <w:sz w:val="24"/>
        </w:rPr>
        <w:t>２</w:t>
      </w:r>
      <w:r>
        <w:rPr>
          <w:rFonts w:hint="eastAsia"/>
          <w:sz w:val="24"/>
        </w:rPr>
        <w:t>)</w:t>
      </w:r>
      <w:r>
        <w:rPr>
          <w:rFonts w:hint="eastAsia"/>
          <w:sz w:val="24"/>
        </w:rPr>
        <w:t>調達実績については、障害者優先調達推進法第９条第５項の規定に基づき、会計年度の終了後、遅滞なく調達の概要をまとめ、市ホームページ等により公表する。</w:t>
      </w:r>
    </w:p>
    <w:p>
      <w:pPr>
        <w:pStyle w:val="0"/>
        <w:ind w:left="720" w:hanging="720" w:hangingChars="300"/>
        <w:jc w:val="left"/>
        <w:rPr>
          <w:rFonts w:hint="default"/>
          <w:sz w:val="24"/>
        </w:rPr>
      </w:pPr>
    </w:p>
    <w:p>
      <w:pPr>
        <w:pStyle w:val="0"/>
        <w:ind w:left="720" w:hanging="720" w:hangingChars="300"/>
        <w:jc w:val="left"/>
        <w:rPr>
          <w:rFonts w:hint="default"/>
          <w:sz w:val="24"/>
        </w:rPr>
      </w:pPr>
      <w:r>
        <w:rPr>
          <w:rFonts w:hint="eastAsia"/>
          <w:sz w:val="24"/>
        </w:rPr>
        <w:t>９　当該調達方針に関する担当窓口</w:t>
      </w:r>
    </w:p>
    <w:p>
      <w:pPr>
        <w:pStyle w:val="0"/>
        <w:ind w:left="283" w:hanging="283" w:hangingChars="118"/>
        <w:jc w:val="left"/>
        <w:rPr>
          <w:rFonts w:hint="default"/>
          <w:sz w:val="24"/>
        </w:rPr>
      </w:pPr>
      <w:r>
        <w:rPr>
          <w:rFonts w:hint="eastAsia"/>
          <w:sz w:val="24"/>
        </w:rPr>
        <w:t>　　この調達方針に関する担当窓口は、福祉部障がい者福祉課とする。ただし、調達に際しての担当窓口は、調達を希望する担当課（所）とする。</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4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itle"/>
    <w:basedOn w:val="0"/>
    <w:next w:val="0"/>
    <w:link w:val="18"/>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18" w:customStyle="1">
    <w:name w:val="表題 (文字)"/>
    <w:basedOn w:val="10"/>
    <w:next w:val="18"/>
    <w:link w:val="17"/>
    <w:uiPriority w:val="0"/>
    <w:rPr>
      <w:rFonts w:eastAsia="ＭＳ ゴシック" w:asciiTheme="majorHAnsi" w:hAnsiTheme="majorHAnsi"/>
      <w:sz w:val="3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Date"/>
    <w:basedOn w:val="0"/>
    <w:next w:val="0"/>
    <w:link w:val="24"/>
    <w:uiPriority w:val="0"/>
  </w:style>
  <w:style w:type="character" w:styleId="24" w:customStyle="1">
    <w:name w:val="日付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List Paragraph"/>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1589</TotalTime>
  <Pages>2</Pages>
  <Words>2</Words>
  <Characters>1424</Characters>
  <Application>JUST Note</Application>
  <Lines>72</Lines>
  <Paragraphs>42</Paragraphs>
  <CharactersWithSpaces>1487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千嶋　敏</dc:creator>
  <cp:lastModifiedBy>板橋　和美</cp:lastModifiedBy>
  <cp:lastPrinted>2019-07-30T04:25:08Z</cp:lastPrinted>
  <dcterms:created xsi:type="dcterms:W3CDTF">2013-09-17T01:42:00Z</dcterms:created>
  <dcterms:modified xsi:type="dcterms:W3CDTF">2019-07-30T04:18:25Z</dcterms:modified>
  <cp:revision>54</cp:revision>
</cp:coreProperties>
</file>